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F3CAB" w:rsidRDefault="007F3CAB" w:rsidP="00E8154D">
      <w:pPr>
        <w:wordWrap w:val="0"/>
        <w:jc w:val="right"/>
      </w:pPr>
    </w:p>
    <w:p w:rsidR="00D303D4" w:rsidRDefault="00D303D4" w:rsidP="00B44ECD">
      <w:pPr>
        <w:jc w:val="center"/>
        <w:rPr>
          <w:rFonts w:ascii="ＭＳ ゴシック" w:eastAsia="ＭＳ ゴシック"/>
          <w:sz w:val="24"/>
          <w:szCs w:val="24"/>
        </w:rPr>
      </w:pPr>
      <w:r w:rsidRPr="00D303D4">
        <w:rPr>
          <w:rFonts w:ascii="ＭＳ ゴシック" w:eastAsia="ＭＳ ゴシック" w:hint="eastAsia"/>
          <w:sz w:val="24"/>
          <w:szCs w:val="24"/>
        </w:rPr>
        <w:t>長周期地震動を考慮した超高層建築の応答・被害予測と</w:t>
      </w:r>
    </w:p>
    <w:p w:rsidR="00B44ECD" w:rsidRPr="00862AD6" w:rsidRDefault="00D303D4" w:rsidP="00B44ECD">
      <w:pPr>
        <w:jc w:val="center"/>
        <w:rPr>
          <w:rFonts w:ascii="ＭＳ ゴシック" w:eastAsia="ＭＳ ゴシック"/>
          <w:sz w:val="24"/>
          <w:szCs w:val="24"/>
        </w:rPr>
      </w:pPr>
      <w:r w:rsidRPr="00D303D4">
        <w:rPr>
          <w:rFonts w:ascii="ＭＳ ゴシック" w:eastAsia="ＭＳ ゴシック" w:hint="eastAsia"/>
          <w:sz w:val="24"/>
          <w:szCs w:val="24"/>
        </w:rPr>
        <w:t>対応支援システム「</w:t>
      </w:r>
      <w:bookmarkStart w:id="0" w:name="_Hlk34753629"/>
      <w:r w:rsidRPr="00D303D4">
        <w:rPr>
          <w:rFonts w:ascii="ＭＳ ゴシック" w:eastAsia="ＭＳ ゴシック" w:hint="eastAsia"/>
          <w:sz w:val="24"/>
          <w:szCs w:val="24"/>
        </w:rPr>
        <w:t>びるゆれコール</w:t>
      </w:r>
      <w:bookmarkEnd w:id="0"/>
      <w:r w:rsidRPr="00D303D4">
        <w:rPr>
          <w:rFonts w:ascii="ＭＳ ゴシック" w:eastAsia="ＭＳ ゴシック" w:hint="eastAsia"/>
          <w:sz w:val="24"/>
          <w:szCs w:val="24"/>
        </w:rPr>
        <w:t>」の開発</w:t>
      </w:r>
    </w:p>
    <w:p w:rsidR="00F87AB3" w:rsidRDefault="00F87AB3" w:rsidP="00B44ECD">
      <w:pPr>
        <w:ind w:firstLine="378"/>
        <w:rPr>
          <w:rFonts w:ascii="ＭＳ 明朝" w:hAnsi="Century" w:cs="ＭＳ 明朝"/>
        </w:rPr>
      </w:pPr>
    </w:p>
    <w:p w:rsidR="007F3CAB" w:rsidRPr="00456D05" w:rsidRDefault="00D303D4" w:rsidP="003F5F3A">
      <w:pPr>
        <w:ind w:firstLine="378"/>
      </w:pPr>
      <w:r w:rsidRPr="00D303D4">
        <w:rPr>
          <w:rFonts w:hint="eastAsia"/>
        </w:rPr>
        <w:t>長周期地震動</w:t>
      </w:r>
      <w:r>
        <w:rPr>
          <w:rFonts w:hint="eastAsia"/>
        </w:rPr>
        <w:t>、</w:t>
      </w:r>
      <w:r w:rsidRPr="00D303D4">
        <w:rPr>
          <w:rFonts w:hint="eastAsia"/>
        </w:rPr>
        <w:t>超高層建築</w:t>
      </w:r>
      <w:r>
        <w:rPr>
          <w:rFonts w:hint="eastAsia"/>
        </w:rPr>
        <w:t>、</w:t>
      </w:r>
      <w:r w:rsidRPr="00D303D4">
        <w:rPr>
          <w:rFonts w:hint="eastAsia"/>
        </w:rPr>
        <w:t>応答・損傷予測</w:t>
      </w:r>
      <w:r>
        <w:rPr>
          <w:rFonts w:hint="eastAsia"/>
        </w:rPr>
        <w:t>、</w:t>
      </w:r>
      <w:r w:rsidRPr="00D303D4">
        <w:rPr>
          <w:rFonts w:hint="eastAsia"/>
        </w:rPr>
        <w:t>災害対応支援</w:t>
      </w:r>
      <w:r>
        <w:rPr>
          <w:rFonts w:hint="eastAsia"/>
        </w:rPr>
        <w:t>、</w:t>
      </w:r>
      <w:r w:rsidRPr="00D303D4">
        <w:rPr>
          <w:rFonts w:hint="eastAsia"/>
        </w:rPr>
        <w:t>応答スペクトル法</w:t>
      </w:r>
      <w:r>
        <w:rPr>
          <w:rFonts w:hint="eastAsia"/>
        </w:rPr>
        <w:t xml:space="preserve">　</w:t>
      </w:r>
      <w:r w:rsidR="00D44F39">
        <w:rPr>
          <w:rFonts w:hint="eastAsia"/>
        </w:rPr>
        <w:t xml:space="preserve">　　　　　</w:t>
      </w:r>
      <w:r>
        <w:rPr>
          <w:rFonts w:hint="eastAsia"/>
          <w:szCs w:val="18"/>
        </w:rPr>
        <w:t>久田嘉章</w:t>
      </w:r>
      <w:r w:rsidR="00B22558">
        <w:rPr>
          <w:rFonts w:hint="eastAsia"/>
          <w:szCs w:val="18"/>
          <w:vertAlign w:val="superscript"/>
        </w:rPr>
        <w:t>＊</w:t>
      </w:r>
      <w:r w:rsidR="00456D05">
        <w:rPr>
          <w:rFonts w:hint="eastAsia"/>
          <w:szCs w:val="18"/>
        </w:rPr>
        <w:t>、</w:t>
      </w:r>
      <w:r w:rsidR="00456D05">
        <w:rPr>
          <w:rFonts w:hint="eastAsia"/>
        </w:rPr>
        <w:t>村上正浩</w:t>
      </w:r>
      <w:r w:rsidR="00456D05">
        <w:rPr>
          <w:rFonts w:hint="eastAsia"/>
          <w:szCs w:val="18"/>
          <w:vertAlign w:val="superscript"/>
        </w:rPr>
        <w:t>＊</w:t>
      </w:r>
    </w:p>
    <w:p w:rsidR="007F3CAB" w:rsidRDefault="007F3CAB" w:rsidP="0053125C">
      <w:pPr>
        <w:pStyle w:val="a3"/>
        <w:tabs>
          <w:tab w:val="clear" w:pos="4252"/>
          <w:tab w:val="clear" w:pos="8504"/>
        </w:tabs>
        <w:snapToGrid/>
        <w:sectPr w:rsidR="007F3CAB">
          <w:headerReference w:type="default" r:id="rId8"/>
          <w:pgSz w:w="11906" w:h="16838" w:code="9"/>
          <w:pgMar w:top="794" w:right="851" w:bottom="1247" w:left="851" w:header="851" w:footer="567" w:gutter="0"/>
          <w:cols w:space="340"/>
          <w:docGrid w:type="linesAndChars" w:linePitch="314" w:charSpace="1835"/>
        </w:sectPr>
      </w:pPr>
      <w:r>
        <w:rPr>
          <w:rFonts w:hint="eastAsia"/>
        </w:rPr>
        <w:t xml:space="preserve">　</w:t>
      </w:r>
      <w:r w:rsidR="0053125C">
        <w:rPr>
          <w:rFonts w:hint="eastAsia"/>
        </w:rPr>
        <w:t xml:space="preserve">　　　　　　　　　　　　　　　　　　　</w:t>
      </w:r>
    </w:p>
    <w:p w:rsidR="004740A6" w:rsidRDefault="004740A6" w:rsidP="004740A6">
      <w:pPr>
        <w:rPr>
          <w:rFonts w:ascii="Arial" w:eastAsia="ＭＳ ゴシック" w:hAnsi="Arial" w:cs="Arial"/>
        </w:rPr>
      </w:pPr>
      <w:r>
        <w:rPr>
          <w:rFonts w:ascii="Arial" w:eastAsia="ＭＳ ゴシック" w:hAnsi="Arial" w:cs="Arial" w:hint="eastAsia"/>
        </w:rPr>
        <w:t>１．</w:t>
      </w:r>
      <w:r w:rsidR="0034246B">
        <w:rPr>
          <w:rFonts w:ascii="Arial" w:eastAsia="ＭＳ ゴシック" w:hAnsi="Arial" w:cs="Arial" w:hint="eastAsia"/>
        </w:rPr>
        <w:t>はじめに</w:t>
      </w:r>
    </w:p>
    <w:p w:rsidR="00D303D4" w:rsidRDefault="00D303D4" w:rsidP="00D303D4">
      <w:pPr>
        <w:ind w:firstLineChars="100" w:firstLine="197"/>
        <w:rPr>
          <w:rFonts w:ascii="ＭＳ 明朝" w:hAnsi="ＭＳ 明朝" w:cs="Arial"/>
        </w:rPr>
      </w:pPr>
      <w:r w:rsidRPr="00D303D4">
        <w:rPr>
          <w:rFonts w:ascii="ＭＳ 明朝" w:hAnsi="ＭＳ 明朝" w:cs="Arial" w:hint="eastAsia"/>
        </w:rPr>
        <w:t>近年、南海トラフ地震等の長周期地震動による超高層建築への被害が懸念されており、防災・減災のための事前のハード対策だけでなく、地震後に速やかに揺れや被害状況を把握し、適切な対応行動を可能とする事後のソフト的な対応策の推進が求められている</w:t>
      </w:r>
      <w:r w:rsidRPr="00D303D4">
        <w:rPr>
          <w:rFonts w:ascii="ＭＳ 明朝" w:hAnsi="ＭＳ 明朝" w:cs="Arial" w:hint="eastAsia"/>
          <w:vertAlign w:val="superscript"/>
        </w:rPr>
        <w:t>1)、2)</w:t>
      </w:r>
      <w:r w:rsidRPr="00D303D4">
        <w:rPr>
          <w:rFonts w:ascii="ＭＳ 明朝" w:hAnsi="ＭＳ 明朝" w:cs="Arial" w:hint="eastAsia"/>
        </w:rPr>
        <w:t>。著者らは2018 年度より工学院大学新宿校舎（28 階建てS 造）を対象として、防災科学技術研究所から得られた長周期地震動の予測・観測情報</w:t>
      </w:r>
      <w:r w:rsidRPr="00D303D4">
        <w:rPr>
          <w:rFonts w:ascii="ＭＳ 明朝" w:hAnsi="ＭＳ 明朝" w:cs="Arial" w:hint="eastAsia"/>
          <w:vertAlign w:val="superscript"/>
        </w:rPr>
        <w:t>2)</w:t>
      </w:r>
      <w:r>
        <w:rPr>
          <w:rFonts w:ascii="ＭＳ 明朝" w:hAnsi="ＭＳ 明朝" w:cs="Arial" w:hint="eastAsia"/>
          <w:vertAlign w:val="superscript"/>
        </w:rPr>
        <w:t>、</w:t>
      </w:r>
      <w:r w:rsidRPr="00D303D4">
        <w:rPr>
          <w:rFonts w:ascii="ＭＳ 明朝" w:hAnsi="ＭＳ 明朝" w:cs="Arial" w:hint="eastAsia"/>
          <w:vertAlign w:val="superscript"/>
        </w:rPr>
        <w:t>3)</w:t>
      </w:r>
      <w:r w:rsidRPr="00D303D4">
        <w:rPr>
          <w:rFonts w:ascii="ＭＳ 明朝" w:hAnsi="ＭＳ 明朝" w:cs="Arial" w:hint="eastAsia"/>
        </w:rPr>
        <w:t>をもとに、各階の長周期地震動階級・層間変形角等の推定結果をタブレット端末に通知する等により、適切な初動対応を支援する</w:t>
      </w:r>
      <w:r>
        <w:rPr>
          <w:rFonts w:ascii="ＭＳ 明朝" w:hAnsi="ＭＳ 明朝" w:cs="Arial" w:hint="eastAsia"/>
        </w:rPr>
        <w:t>システム「</w:t>
      </w:r>
      <w:r w:rsidRPr="00D303D4">
        <w:rPr>
          <w:rFonts w:ascii="ＭＳ 明朝" w:hAnsi="ＭＳ 明朝" w:cs="Arial" w:hint="eastAsia"/>
        </w:rPr>
        <w:t>びるゆれコール」</w:t>
      </w:r>
      <w:r>
        <w:rPr>
          <w:rFonts w:ascii="ＭＳ 明朝" w:hAnsi="ＭＳ 明朝" w:cs="Arial" w:hint="eastAsia"/>
        </w:rPr>
        <w:t>の開発を行っている</w:t>
      </w:r>
      <w:r w:rsidRPr="00D303D4">
        <w:rPr>
          <w:rFonts w:ascii="ＭＳ 明朝" w:hAnsi="ＭＳ 明朝" w:cs="Arial" w:hint="eastAsia"/>
        </w:rPr>
        <w:t>。</w:t>
      </w:r>
      <w:r>
        <w:rPr>
          <w:rFonts w:ascii="ＭＳ 明朝" w:hAnsi="ＭＳ 明朝" w:cs="Arial" w:hint="eastAsia"/>
        </w:rPr>
        <w:t>本システム開発は</w:t>
      </w:r>
      <w:r w:rsidRPr="00D303D4">
        <w:rPr>
          <w:rFonts w:ascii="ＭＳ 明朝" w:hAnsi="ＭＳ 明朝" w:cs="Arial" w:hint="eastAsia"/>
        </w:rPr>
        <w:t>、アールシーソリューション株式会社</w:t>
      </w:r>
      <w:r>
        <w:rPr>
          <w:rFonts w:ascii="ＭＳ 明朝" w:hAnsi="ＭＳ 明朝" w:cs="Arial" w:hint="eastAsia"/>
        </w:rPr>
        <w:t>と連携して実施している。</w:t>
      </w:r>
    </w:p>
    <w:p w:rsidR="00D303D4" w:rsidRDefault="00D303D4" w:rsidP="00D303D4">
      <w:pPr>
        <w:rPr>
          <w:rFonts w:ascii="Arial" w:eastAsia="ＭＳ ゴシック" w:hAnsi="Arial" w:cs="Arial"/>
        </w:rPr>
      </w:pPr>
      <w:r>
        <w:rPr>
          <w:rFonts w:ascii="Arial" w:eastAsia="ＭＳ ゴシック" w:hAnsi="Arial" w:cs="Arial" w:hint="eastAsia"/>
        </w:rPr>
        <w:t>２．長周期</w:t>
      </w:r>
      <w:r w:rsidRPr="00D303D4">
        <w:rPr>
          <w:rFonts w:ascii="Arial" w:eastAsia="ＭＳ ゴシック" w:hAnsi="Arial" w:cs="Arial" w:hint="eastAsia"/>
        </w:rPr>
        <w:t>地震動を考慮した超高層建築の応答・被害</w:t>
      </w:r>
    </w:p>
    <w:p w:rsidR="00D303D4" w:rsidRDefault="00D303D4" w:rsidP="00D303D4">
      <w:pPr>
        <w:ind w:firstLineChars="100" w:firstLine="197"/>
        <w:rPr>
          <w:rFonts w:ascii="Arial" w:eastAsia="ＭＳ ゴシック" w:hAnsi="Arial" w:cs="Arial"/>
        </w:rPr>
      </w:pPr>
      <w:r w:rsidRPr="00D303D4">
        <w:rPr>
          <w:rFonts w:ascii="Arial" w:eastAsia="ＭＳ ゴシック" w:hAnsi="Arial" w:cs="Arial" w:hint="eastAsia"/>
        </w:rPr>
        <w:t>予測と対応支援システム「びるゆれコール」</w:t>
      </w:r>
    </w:p>
    <w:p w:rsidR="00456D05" w:rsidRPr="003514AA" w:rsidRDefault="00456D05" w:rsidP="00456D05">
      <w:pPr>
        <w:framePr w:w="10291" w:h="368" w:hRule="exact" w:hSpace="181" w:wrap="around" w:vAnchor="page" w:hAnchor="page" w:x="828" w:y="15184" w:anchorLock="1"/>
      </w:pPr>
      <w:r>
        <w:rPr>
          <w:noProof/>
        </w:rPr>
        <mc:AlternateContent>
          <mc:Choice Requires="wps">
            <w:drawing>
              <wp:anchor distT="0" distB="0" distL="114300" distR="114300" simplePos="0" relativeHeight="251659264" behindDoc="0" locked="0" layoutInCell="1" allowOverlap="1" wp14:anchorId="0D537362" wp14:editId="557E2D39">
                <wp:simplePos x="0" y="0"/>
                <wp:positionH relativeFrom="column">
                  <wp:posOffset>24765</wp:posOffset>
                </wp:positionH>
                <wp:positionV relativeFrom="paragraph">
                  <wp:posOffset>-23495</wp:posOffset>
                </wp:positionV>
                <wp:extent cx="6409690" cy="0"/>
                <wp:effectExtent l="0" t="0" r="0" b="0"/>
                <wp:wrapNone/>
                <wp:docPr id="3" name="Line 5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96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C9BCEE" id="Line 502" o:spid="_x0000_s1026" style="position:absolute;left:0;text-align:lef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pt,-1.85pt" to="506.6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z2FAIAACo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"/>
            </w:pict>
          </mc:Fallback>
        </mc:AlternateContent>
      </w:r>
      <w:r>
        <w:rPr>
          <w:rFonts w:hint="eastAsia"/>
        </w:rPr>
        <w:t xml:space="preserve">　＊：工学院大学建築学部まちづくり学科</w:t>
      </w:r>
    </w:p>
    <w:p w:rsidR="003A42D0" w:rsidRDefault="00D303D4" w:rsidP="003A42D0">
      <w:pPr>
        <w:ind w:firstLineChars="100" w:firstLine="197"/>
        <w:rPr>
          <w:rFonts w:ascii="ＭＳ 明朝" w:hAnsi="ＭＳ 明朝" w:cs="Arial"/>
        </w:rPr>
      </w:pPr>
      <w:r w:rsidRPr="00D303D4">
        <w:rPr>
          <w:rFonts w:ascii="ＭＳ 明朝" w:hAnsi="ＭＳ 明朝" w:cs="Arial" w:hint="eastAsia"/>
        </w:rPr>
        <w:t>図</w:t>
      </w:r>
      <w:r>
        <w:rPr>
          <w:rFonts w:ascii="ＭＳ 明朝" w:hAnsi="ＭＳ 明朝" w:cs="Arial" w:hint="eastAsia"/>
        </w:rPr>
        <w:t>1</w:t>
      </w:r>
      <w:r w:rsidRPr="00D303D4">
        <w:rPr>
          <w:rFonts w:ascii="ＭＳ 明朝" w:hAnsi="ＭＳ 明朝" w:cs="Arial" w:hint="eastAsia"/>
        </w:rPr>
        <w:t>に「びるゆれコール」の概念図を示す。まずアプリ側サーバには事前に対象建物の構造種別や階数、固有周期・刺激関数・減衰定数、さらに被害程度の判断基準値（構造的被害の基準となる層間変形角、および、室内被害の基準値となる震度・長周期地震動階級など）の情報を登録しておく。次にアプリ側サーバは常に防災科研の長周期地震動指標APIにより予測・観測情報をモニタリングしており、地震時には対象サイトの応答スペクトル等の情報を速やかに</w:t>
      </w:r>
      <w:r w:rsidR="00D71966" w:rsidRPr="00D303D4">
        <w:rPr>
          <w:rFonts w:ascii="ＭＳ 明朝" w:hAnsi="ＭＳ 明朝" w:cs="Arial" w:hint="eastAsia"/>
        </w:rPr>
        <w:t>入手する</w:t>
      </w:r>
      <w:r w:rsidR="00D71966" w:rsidRPr="00D303D4">
        <w:rPr>
          <w:rFonts w:ascii="ＭＳ 明朝" w:hAnsi="ＭＳ 明朝" w:cs="Arial" w:hint="eastAsia"/>
          <w:vertAlign w:val="superscript"/>
        </w:rPr>
        <w:t>2)</w:t>
      </w:r>
      <w:r w:rsidR="00D71966">
        <w:rPr>
          <w:rFonts w:ascii="ＭＳ 明朝" w:hAnsi="ＭＳ 明朝" w:cs="Arial" w:hint="eastAsia"/>
          <w:vertAlign w:val="superscript"/>
        </w:rPr>
        <w:t>、</w:t>
      </w:r>
      <w:r w:rsidR="00D71966" w:rsidRPr="00D303D4">
        <w:rPr>
          <w:rFonts w:ascii="ＭＳ 明朝" w:hAnsi="ＭＳ 明朝" w:cs="Arial" w:hint="eastAsia"/>
          <w:vertAlign w:val="superscript"/>
        </w:rPr>
        <w:t>3)</w:t>
      </w:r>
      <w:r w:rsidR="00D71966" w:rsidRPr="00D303D4">
        <w:rPr>
          <w:rFonts w:ascii="ＭＳ 明朝" w:hAnsi="ＭＳ 明朝" w:cs="Arial" w:hint="eastAsia"/>
        </w:rPr>
        <w:t>。ここで予測情報とは、気象庁による</w:t>
      </w:r>
      <w:r w:rsidR="003A42D0" w:rsidRPr="00D303D4">
        <w:rPr>
          <w:rFonts w:ascii="ＭＳ 明朝" w:hAnsi="ＭＳ 明朝" w:cs="Arial" w:hint="eastAsia"/>
        </w:rPr>
        <w:t>緊急地震速報</w:t>
      </w:r>
    </w:p>
    <w:p w:rsidR="003701F9" w:rsidRDefault="00456D05" w:rsidP="003A42D0">
      <w:pPr>
        <w:rPr>
          <w:rFonts w:ascii="ＭＳ 明朝" w:hAnsi="ＭＳ 明朝" w:cs="Arial"/>
        </w:rPr>
      </w:pPr>
      <w:r w:rsidRPr="00456D05">
        <w:rPr>
          <w:noProof/>
        </w:rPr>
        <w:drawing>
          <wp:inline distT="0" distB="0" distL="0" distR="0" wp14:anchorId="53073147" wp14:editId="55FA598B">
            <wp:extent cx="2952115" cy="2045575"/>
            <wp:effectExtent l="0" t="0" r="635"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52115" cy="2045575"/>
                    </a:xfrm>
                    <a:prstGeom prst="rect">
                      <a:avLst/>
                    </a:prstGeom>
                    <a:noFill/>
                    <a:ln>
                      <a:noFill/>
                    </a:ln>
                  </pic:spPr>
                </pic:pic>
              </a:graphicData>
            </a:graphic>
          </wp:inline>
        </w:drawing>
      </w:r>
    </w:p>
    <w:p w:rsidR="003701F9" w:rsidRPr="00D71966" w:rsidRDefault="00D71966" w:rsidP="00D71966">
      <w:pPr>
        <w:jc w:val="center"/>
        <w:rPr>
          <w:rFonts w:ascii="ＭＳ ゴシック" w:eastAsia="ＭＳ ゴシック" w:hAnsi="ＭＳ ゴシック" w:cs="Arial"/>
        </w:rPr>
      </w:pPr>
      <w:r w:rsidRPr="00D71966">
        <w:rPr>
          <w:rFonts w:ascii="ＭＳ ゴシック" w:eastAsia="ＭＳ ゴシック" w:hAnsi="ＭＳ ゴシック" w:cs="Arial" w:hint="eastAsia"/>
        </w:rPr>
        <w:t>図1　「びるゆれコール」の概念図</w:t>
      </w:r>
    </w:p>
    <w:p w:rsidR="00D303D4" w:rsidRPr="00D303D4" w:rsidRDefault="00D303D4" w:rsidP="00456D05">
      <w:pPr>
        <w:rPr>
          <w:rFonts w:ascii="ＭＳ 明朝" w:hAnsi="ＭＳ 明朝" w:cs="Arial"/>
        </w:rPr>
      </w:pPr>
      <w:r w:rsidRPr="00D303D4">
        <w:rPr>
          <w:rFonts w:ascii="ＭＳ 明朝" w:hAnsi="ＭＳ 明朝" w:cs="Arial" w:hint="eastAsia"/>
        </w:rPr>
        <w:t>（震源データ）と長周期地震動の強震動予測式</w:t>
      </w:r>
      <w:r w:rsidRPr="00456D05">
        <w:rPr>
          <w:rFonts w:ascii="ＭＳ 明朝" w:hAnsi="ＭＳ 明朝" w:cs="Arial" w:hint="eastAsia"/>
          <w:vertAlign w:val="superscript"/>
        </w:rPr>
        <w:t xml:space="preserve"> 4)</w:t>
      </w:r>
      <w:r w:rsidRPr="00D303D4">
        <w:rPr>
          <w:rFonts w:ascii="ＭＳ 明朝" w:hAnsi="ＭＳ 明朝" w:cs="Arial" w:hint="eastAsia"/>
        </w:rPr>
        <w:t>を用いて、250</w:t>
      </w:r>
      <w:r>
        <w:rPr>
          <w:rFonts w:ascii="ＭＳ 明朝" w:hAnsi="ＭＳ 明朝" w:cs="Arial" w:hint="eastAsia"/>
        </w:rPr>
        <w:t>m</w:t>
      </w:r>
      <w:r w:rsidRPr="00D303D4">
        <w:rPr>
          <w:rFonts w:ascii="ＭＳ 明朝" w:hAnsi="ＭＳ 明朝" w:cs="Arial" w:hint="eastAsia"/>
        </w:rPr>
        <w:t>メッシュごとに長周期地震動階級や絶対速度応答スペクトル等の情報である。一方、観測情報とはK-Net 等による最寄りの観測データによる同様な情報である。</w:t>
      </w:r>
    </w:p>
    <w:p w:rsidR="00D303D4" w:rsidRPr="00D303D4" w:rsidRDefault="00D303D4" w:rsidP="00456D05">
      <w:pPr>
        <w:ind w:firstLineChars="100" w:firstLine="197"/>
        <w:rPr>
          <w:rFonts w:ascii="ＭＳ 明朝" w:hAnsi="ＭＳ 明朝" w:cs="Arial"/>
        </w:rPr>
      </w:pPr>
      <w:r w:rsidRPr="00D303D4">
        <w:rPr>
          <w:rFonts w:ascii="ＭＳ 明朝" w:hAnsi="ＭＳ 明朝" w:cs="Arial" w:hint="eastAsia"/>
        </w:rPr>
        <w:t>一方、対象となる超高層建築の応答・損傷予測として、地震時に更新される最新の予測・観測情報を用いて、建物各階の最大応答値や長周期地震動階級・震度（相当値）、層間変形角等の推定値をサーバにて計算し、その結果をタブレット端末に通知する。建物各階の応答値は、予測・観測情報による絶対速度応答スペクトルから応答スペクトル法よりサーバ側で計算する。今回対象としている工学院大学新宿校舎の 1～3  次の固有周期が約 3</w:t>
      </w:r>
      <w:r>
        <w:rPr>
          <w:rFonts w:ascii="ＭＳ 明朝" w:hAnsi="ＭＳ 明朝" w:cs="Arial" w:hint="eastAsia"/>
        </w:rPr>
        <w:t>、</w:t>
      </w:r>
      <w:r w:rsidRPr="00D303D4">
        <w:rPr>
          <w:rFonts w:ascii="ＭＳ 明朝" w:hAnsi="ＭＳ 明朝" w:cs="Arial" w:hint="eastAsia"/>
        </w:rPr>
        <w:t>1</w:t>
      </w:r>
      <w:r>
        <w:rPr>
          <w:rFonts w:ascii="ＭＳ 明朝" w:hAnsi="ＭＳ 明朝" w:cs="Arial" w:hint="eastAsia"/>
        </w:rPr>
        <w:t>、</w:t>
      </w:r>
      <w:r w:rsidRPr="00D303D4">
        <w:rPr>
          <w:rFonts w:ascii="ＭＳ 明朝" w:hAnsi="ＭＳ 明朝" w:cs="Arial" w:hint="eastAsia"/>
        </w:rPr>
        <w:t>0.5秒であり、提供される長周期地震動の最小周期が 1.6 秒であるため、ここでは 1 次モードのみで計算を行う。刺激関数等は文献 5)の経験式を用い、減衰定数は3%とした。</w:t>
      </w:r>
    </w:p>
    <w:p w:rsidR="00D303D4" w:rsidRDefault="00D303D4" w:rsidP="00456D05">
      <w:pPr>
        <w:ind w:firstLineChars="100" w:firstLine="197"/>
        <w:rPr>
          <w:rFonts w:ascii="ＭＳ 明朝" w:hAnsi="ＭＳ 明朝" w:cs="Arial"/>
        </w:rPr>
      </w:pPr>
      <w:r w:rsidRPr="00D303D4">
        <w:rPr>
          <w:rFonts w:ascii="ＭＳ 明朝" w:hAnsi="ＭＳ 明朝" w:cs="Arial" w:hint="eastAsia"/>
        </w:rPr>
        <w:t>計算された建物の応答推定値は、タブレット端末でのクライアント側アプリに自動的に表示・更新される。</w:t>
      </w:r>
      <w:bookmarkStart w:id="1" w:name="_GoBack"/>
      <w:bookmarkEnd w:id="1"/>
      <w:r w:rsidRPr="00D303D4">
        <w:rPr>
          <w:rFonts w:ascii="ＭＳ 明朝" w:hAnsi="ＭＳ 明朝" w:cs="Arial" w:hint="eastAsia"/>
        </w:rPr>
        <w:t xml:space="preserve">図 </w:t>
      </w:r>
      <w:r w:rsidR="00456D05">
        <w:rPr>
          <w:rFonts w:ascii="ＭＳ 明朝" w:hAnsi="ＭＳ 明朝" w:cs="Arial" w:hint="eastAsia"/>
        </w:rPr>
        <w:t>2</w:t>
      </w:r>
      <w:r w:rsidRPr="00D303D4">
        <w:rPr>
          <w:rFonts w:ascii="ＭＳ 明朝" w:hAnsi="ＭＳ 明朝" w:cs="Arial" w:hint="eastAsia"/>
        </w:rPr>
        <w:t>は予測情報受信時の画面の一例であり、受信者がいる階（低～高層階）に対応した長周期地震動階級・震度（相当値）、揺れの到達予測時間、想定される層間変形角と震度等による構造・室内被害程度と、事前に計画した望まれる対応行動を促すメッセージが表示される</w:t>
      </w:r>
      <w:r w:rsidR="003701F9">
        <w:rPr>
          <w:rFonts w:ascii="ＭＳ 明朝" w:hAnsi="ＭＳ 明朝" w:cs="Arial" w:hint="eastAsia"/>
        </w:rPr>
        <w:t>（図3）</w:t>
      </w:r>
      <w:r w:rsidRPr="00D303D4">
        <w:rPr>
          <w:rFonts w:ascii="ＭＳ 明朝" w:hAnsi="ＭＳ 明朝" w:cs="Arial" w:hint="eastAsia"/>
        </w:rPr>
        <w:t>。さらに観測情報受信時にも同様な情報が自動的に表示される。一方、図</w:t>
      </w:r>
      <w:r w:rsidR="003701F9">
        <w:rPr>
          <w:rFonts w:ascii="ＭＳ 明朝" w:hAnsi="ＭＳ 明朝" w:cs="Arial" w:hint="eastAsia"/>
        </w:rPr>
        <w:t>4</w:t>
      </w:r>
      <w:r w:rsidRPr="00D303D4">
        <w:rPr>
          <w:rFonts w:ascii="ＭＳ 明朝" w:hAnsi="ＭＳ 明朝" w:cs="Arial" w:hint="eastAsia"/>
        </w:rPr>
        <w:t>は管理者用アプリの画面である。サーバにアクセス測情報による応答</w:t>
      </w:r>
      <w:r w:rsidR="00D71966" w:rsidRPr="00D303D4">
        <w:rPr>
          <w:rFonts w:ascii="ＭＳ 明朝" w:hAnsi="ＭＳ 明朝" w:cs="Arial" w:hint="eastAsia"/>
        </w:rPr>
        <w:t>推定値を見ることができる。</w:t>
      </w:r>
    </w:p>
    <w:p w:rsidR="003701F9" w:rsidRDefault="00D71966" w:rsidP="003701F9">
      <w:pPr>
        <w:rPr>
          <w:rFonts w:ascii="ＭＳ 明朝" w:hAnsi="ＭＳ 明朝" w:cs="Arial"/>
        </w:rPr>
      </w:pPr>
      <w:r w:rsidRPr="00456D05">
        <w:rPr>
          <w:rFonts w:hint="eastAsia"/>
          <w:noProof/>
        </w:rPr>
        <w:drawing>
          <wp:inline distT="0" distB="0" distL="0" distR="0" wp14:anchorId="077E9D63">
            <wp:extent cx="2885400" cy="1720800"/>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85400" cy="1720800"/>
                    </a:xfrm>
                    <a:prstGeom prst="rect">
                      <a:avLst/>
                    </a:prstGeom>
                    <a:noFill/>
                    <a:ln>
                      <a:noFill/>
                    </a:ln>
                  </pic:spPr>
                </pic:pic>
              </a:graphicData>
            </a:graphic>
          </wp:inline>
        </w:drawing>
      </w:r>
    </w:p>
    <w:p w:rsidR="00D71966" w:rsidRPr="00D71966" w:rsidRDefault="00D71966" w:rsidP="00D71966">
      <w:pPr>
        <w:jc w:val="center"/>
        <w:rPr>
          <w:rFonts w:ascii="ＭＳ ゴシック" w:eastAsia="ＭＳ ゴシック" w:hAnsi="ＭＳ ゴシック" w:cs="Arial"/>
        </w:rPr>
      </w:pPr>
      <w:r w:rsidRPr="00D71966">
        <w:rPr>
          <w:rFonts w:ascii="ＭＳ ゴシック" w:eastAsia="ＭＳ ゴシック" w:hAnsi="ＭＳ ゴシック" w:cs="Arial" w:hint="eastAsia"/>
        </w:rPr>
        <w:t>図</w:t>
      </w:r>
      <w:r>
        <w:rPr>
          <w:rFonts w:ascii="ＭＳ ゴシック" w:eastAsia="ＭＳ ゴシック" w:hAnsi="ＭＳ ゴシック" w:cs="Arial" w:hint="eastAsia"/>
        </w:rPr>
        <w:t>3</w:t>
      </w:r>
      <w:r w:rsidRPr="00D71966">
        <w:rPr>
          <w:rFonts w:ascii="ＭＳ ゴシック" w:eastAsia="ＭＳ ゴシック" w:hAnsi="ＭＳ ゴシック" w:cs="Arial" w:hint="eastAsia"/>
        </w:rPr>
        <w:t xml:space="preserve">　推定被害とレベル別対応活動</w:t>
      </w:r>
      <w:r>
        <w:rPr>
          <w:rFonts w:ascii="ＭＳ ゴシック" w:eastAsia="ＭＳ ゴシック" w:hAnsi="ＭＳ ゴシック" w:cs="Arial" w:hint="eastAsia"/>
        </w:rPr>
        <w:t>の例</w:t>
      </w:r>
    </w:p>
    <w:p w:rsidR="003701F9" w:rsidRPr="00D501F1" w:rsidRDefault="003701F9" w:rsidP="003701F9">
      <w:pPr>
        <w:rPr>
          <w:rFonts w:ascii="ＭＳ ゴシック" w:eastAsia="ＭＳ ゴシック" w:hAnsi="ＭＳ ゴシック" w:cs="Arial"/>
        </w:rPr>
      </w:pPr>
      <w:r w:rsidRPr="00D501F1">
        <w:rPr>
          <w:rFonts w:ascii="ＭＳ ゴシック" w:eastAsia="ＭＳ ゴシック" w:hAnsi="ＭＳ ゴシック" w:cs="Arial" w:hint="eastAsia"/>
        </w:rPr>
        <w:lastRenderedPageBreak/>
        <w:t>３．おわりに</w:t>
      </w:r>
    </w:p>
    <w:p w:rsidR="003701F9" w:rsidRPr="003701F9" w:rsidRDefault="003701F9" w:rsidP="00D71966">
      <w:pPr>
        <w:ind w:firstLineChars="100" w:firstLine="197"/>
        <w:rPr>
          <w:rFonts w:ascii="ＭＳ 明朝" w:hAnsi="ＭＳ 明朝" w:cs="Arial"/>
        </w:rPr>
      </w:pPr>
      <w:r>
        <w:rPr>
          <w:rFonts w:ascii="ＭＳ 明朝" w:hAnsi="ＭＳ 明朝" w:cs="Arial" w:hint="eastAsia"/>
        </w:rPr>
        <w:t>現在、</w:t>
      </w:r>
      <w:r w:rsidRPr="003701F9">
        <w:rPr>
          <w:rFonts w:ascii="ＭＳ 明朝" w:hAnsi="ＭＳ 明朝" w:cs="Arial" w:hint="eastAsia"/>
        </w:rPr>
        <w:t>開発アプリは工学院大学新宿校舎</w:t>
      </w:r>
      <w:r w:rsidR="00092B13">
        <w:rPr>
          <w:rFonts w:ascii="ＭＳ 明朝" w:hAnsi="ＭＳ 明朝" w:cs="Arial" w:hint="eastAsia"/>
        </w:rPr>
        <w:t>の地下階（防災センター）、中層階（法人事務室）、高層階（研究室）</w:t>
      </w:r>
      <w:r w:rsidRPr="003701F9">
        <w:rPr>
          <w:rFonts w:ascii="ＭＳ 明朝" w:hAnsi="ＭＳ 明朝" w:cs="Arial" w:hint="eastAsia"/>
        </w:rPr>
        <w:t>で試験</w:t>
      </w:r>
      <w:r>
        <w:rPr>
          <w:rFonts w:ascii="ＭＳ 明朝" w:hAnsi="ＭＳ 明朝" w:cs="Arial" w:hint="eastAsia"/>
        </w:rPr>
        <w:t>運用</w:t>
      </w:r>
      <w:r w:rsidR="00D71966">
        <w:rPr>
          <w:rFonts w:ascii="ＭＳ 明朝" w:hAnsi="ＭＳ 明朝" w:cs="Arial" w:hint="eastAsia"/>
        </w:rPr>
        <w:t>している</w:t>
      </w:r>
      <w:r w:rsidR="00092B13">
        <w:rPr>
          <w:rFonts w:ascii="ＭＳ 明朝" w:hAnsi="ＭＳ 明朝" w:cs="Arial" w:hint="eastAsia"/>
        </w:rPr>
        <w:t>。</w:t>
      </w:r>
      <w:r w:rsidR="00D71966">
        <w:rPr>
          <w:rFonts w:ascii="ＭＳ 明朝" w:hAnsi="ＭＳ 明朝" w:cs="Arial" w:hint="eastAsia"/>
        </w:rPr>
        <w:t>今後</w:t>
      </w:r>
      <w:r>
        <w:rPr>
          <w:rFonts w:ascii="ＭＳ 明朝" w:hAnsi="ＭＳ 明朝" w:cs="Arial" w:hint="eastAsia"/>
        </w:rPr>
        <w:t>、本学の施設管理者・防災担当者らとのワークショップ</w:t>
      </w:r>
      <w:r w:rsidR="00D71966">
        <w:rPr>
          <w:rFonts w:ascii="ＭＳ 明朝" w:hAnsi="ＭＳ 明朝" w:cs="Arial" w:hint="eastAsia"/>
        </w:rPr>
        <w:t>を行い、本学に即した</w:t>
      </w:r>
      <w:r w:rsidR="00D71966" w:rsidRPr="00D71966">
        <w:rPr>
          <w:rFonts w:ascii="ＭＳ 明朝" w:hAnsi="ＭＳ 明朝" w:cs="Arial" w:hint="eastAsia"/>
        </w:rPr>
        <w:t>推定被害とレベル別対応活動</w:t>
      </w:r>
      <w:r w:rsidR="00D71966">
        <w:rPr>
          <w:rFonts w:ascii="ＭＳ 明朝" w:hAnsi="ＭＳ 明朝" w:cs="Arial" w:hint="eastAsia"/>
        </w:rPr>
        <w:t>の作成、活用方法の検討を進めていく。また、</w:t>
      </w:r>
      <w:r w:rsidR="00D71966" w:rsidRPr="00D71966">
        <w:rPr>
          <w:rFonts w:ascii="ＭＳ 明朝" w:hAnsi="ＭＳ 明朝" w:cs="Arial" w:hint="eastAsia"/>
        </w:rPr>
        <w:t>レベル別</w:t>
      </w:r>
      <w:r w:rsidR="00D71966">
        <w:rPr>
          <w:rFonts w:ascii="ＭＳ 明朝" w:hAnsi="ＭＳ 明朝" w:cs="Arial" w:hint="eastAsia"/>
        </w:rPr>
        <w:t>の</w:t>
      </w:r>
      <w:r w:rsidR="00D71966" w:rsidRPr="00D71966">
        <w:rPr>
          <w:rFonts w:ascii="ＭＳ 明朝" w:hAnsi="ＭＳ 明朝" w:cs="Arial" w:hint="eastAsia"/>
        </w:rPr>
        <w:t>訓練モード</w:t>
      </w:r>
      <w:r w:rsidR="00D71966">
        <w:rPr>
          <w:rFonts w:ascii="ＭＳ 明朝" w:hAnsi="ＭＳ 明朝" w:cs="Arial" w:hint="eastAsia"/>
        </w:rPr>
        <w:t>や</w:t>
      </w:r>
      <w:r w:rsidR="00D71966" w:rsidRPr="00D71966">
        <w:rPr>
          <w:rFonts w:ascii="ＭＳ 明朝" w:hAnsi="ＭＳ 明朝" w:cs="Arial" w:hint="eastAsia"/>
        </w:rPr>
        <w:t>南海トラフ地震</w:t>
      </w:r>
      <w:r w:rsidR="00D71966">
        <w:rPr>
          <w:rFonts w:ascii="ＭＳ 明朝" w:hAnsi="ＭＳ 明朝" w:cs="Arial" w:hint="eastAsia"/>
        </w:rPr>
        <w:t>への対応などシステムの改良</w:t>
      </w:r>
      <w:r w:rsidR="00651EBA">
        <w:rPr>
          <w:rFonts w:ascii="ＭＳ 明朝" w:hAnsi="ＭＳ 明朝" w:cs="Arial" w:hint="eastAsia"/>
        </w:rPr>
        <w:t>を</w:t>
      </w:r>
      <w:r w:rsidR="00D71966">
        <w:rPr>
          <w:rFonts w:ascii="ＭＳ 明朝" w:hAnsi="ＭＳ 明朝" w:cs="Arial" w:hint="eastAsia"/>
        </w:rPr>
        <w:t>進め、</w:t>
      </w:r>
      <w:r w:rsidRPr="003701F9">
        <w:rPr>
          <w:rFonts w:ascii="ＭＳ 明朝" w:hAnsi="ＭＳ 明朝" w:cs="Arial" w:hint="eastAsia"/>
        </w:rPr>
        <w:t>一般ユーザーへの適用</w:t>
      </w:r>
      <w:r w:rsidR="00D71966">
        <w:rPr>
          <w:rFonts w:ascii="ＭＳ 明朝" w:hAnsi="ＭＳ 明朝" w:cs="Arial" w:hint="eastAsia"/>
        </w:rPr>
        <w:t>について</w:t>
      </w:r>
      <w:r w:rsidRPr="003701F9">
        <w:rPr>
          <w:rFonts w:ascii="ＭＳ 明朝" w:hAnsi="ＭＳ 明朝" w:cs="Arial" w:hint="eastAsia"/>
        </w:rPr>
        <w:t>検討</w:t>
      </w:r>
      <w:r w:rsidR="00D71966">
        <w:rPr>
          <w:rFonts w:ascii="ＭＳ 明朝" w:hAnsi="ＭＳ 明朝" w:cs="Arial" w:hint="eastAsia"/>
        </w:rPr>
        <w:t>する予定である</w:t>
      </w:r>
      <w:r w:rsidRPr="003701F9">
        <w:rPr>
          <w:rFonts w:ascii="ＭＳ 明朝" w:hAnsi="ＭＳ 明朝" w:cs="Arial" w:hint="eastAsia"/>
        </w:rPr>
        <w:t>。</w:t>
      </w:r>
    </w:p>
    <w:p w:rsidR="00D501F1" w:rsidRDefault="00D501F1" w:rsidP="00D501F1">
      <w:pPr>
        <w:rPr>
          <w:rFonts w:ascii="ＭＳ ゴシック" w:eastAsia="ＭＳ ゴシック" w:hAnsi="ＭＳ ゴシック" w:cs="Arial"/>
          <w:sz w:val="16"/>
        </w:rPr>
      </w:pPr>
    </w:p>
    <w:p w:rsidR="00D501F1" w:rsidRPr="00D501F1" w:rsidRDefault="00F3097B" w:rsidP="00D501F1">
      <w:pPr>
        <w:rPr>
          <w:rFonts w:ascii="ＭＳ ゴシック" w:eastAsia="ＭＳ ゴシック" w:hAnsi="ＭＳ ゴシック" w:cs="Arial"/>
        </w:rPr>
      </w:pPr>
      <w:r w:rsidRPr="00F3097B">
        <w:drawing>
          <wp:anchor distT="0" distB="0" distL="114300" distR="114300" simplePos="0" relativeHeight="251667456" behindDoc="0" locked="0" layoutInCell="1" allowOverlap="1">
            <wp:simplePos x="0" y="0"/>
            <wp:positionH relativeFrom="column">
              <wp:posOffset>577850</wp:posOffset>
            </wp:positionH>
            <wp:positionV relativeFrom="paragraph">
              <wp:posOffset>40005</wp:posOffset>
            </wp:positionV>
            <wp:extent cx="4890600" cy="3143160"/>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90600" cy="3143160"/>
                    </a:xfrm>
                    <a:prstGeom prst="rect">
                      <a:avLst/>
                    </a:prstGeom>
                    <a:noFill/>
                    <a:ln>
                      <a:noFill/>
                    </a:ln>
                  </pic:spPr>
                </pic:pic>
              </a:graphicData>
            </a:graphic>
            <wp14:sizeRelH relativeFrom="page">
              <wp14:pctWidth>0</wp14:pctWidth>
            </wp14:sizeRelH>
            <wp14:sizeRelV relativeFrom="page">
              <wp14:pctHeight>0</wp14:pctHeight>
            </wp14:sizeRelV>
          </wp:anchor>
        </w:drawing>
      </w:r>
      <w:r w:rsidR="00782F52">
        <w:rPr>
          <w:rFonts w:ascii="ＭＳ 明朝" w:hAnsi="ＭＳ 明朝" w:cs="Arial"/>
          <w:noProof/>
        </w:rPr>
        <mc:AlternateContent>
          <mc:Choice Requires="wps">
            <w:drawing>
              <wp:anchor distT="0" distB="0" distL="114300" distR="114300" simplePos="0" relativeHeight="251664384" behindDoc="0" locked="0" layoutInCell="1" allowOverlap="1">
                <wp:simplePos x="0" y="0"/>
                <wp:positionH relativeFrom="column">
                  <wp:posOffset>3810</wp:posOffset>
                </wp:positionH>
                <wp:positionV relativeFrom="paragraph">
                  <wp:posOffset>3154045</wp:posOffset>
                </wp:positionV>
                <wp:extent cx="6038850" cy="209550"/>
                <wp:effectExtent l="0" t="0" r="0" b="0"/>
                <wp:wrapNone/>
                <wp:docPr id="10" name="テキスト ボックス 10"/>
                <wp:cNvGraphicFramePr/>
                <a:graphic xmlns:a="http://schemas.openxmlformats.org/drawingml/2006/main">
                  <a:graphicData uri="http://schemas.microsoft.com/office/word/2010/wordprocessingShape">
                    <wps:wsp>
                      <wps:cNvSpPr txBox="1"/>
                      <wps:spPr>
                        <a:xfrm>
                          <a:off x="0" y="0"/>
                          <a:ext cx="6038850" cy="209550"/>
                        </a:xfrm>
                        <a:prstGeom prst="rect">
                          <a:avLst/>
                        </a:prstGeom>
                        <a:noFill/>
                        <a:ln w="6350">
                          <a:noFill/>
                        </a:ln>
                      </wps:spPr>
                      <wps:txbx>
                        <w:txbxContent>
                          <w:p w:rsidR="00D501F1" w:rsidRPr="00D501F1" w:rsidRDefault="00D501F1">
                            <w:pPr>
                              <w:rPr>
                                <w:rFonts w:ascii="ＭＳ ゴシック" w:eastAsia="ＭＳ ゴシック" w:hAnsi="ＭＳ ゴシック"/>
                              </w:rPr>
                            </w:pPr>
                            <w:r w:rsidRPr="00D501F1">
                              <w:rPr>
                                <w:rFonts w:ascii="ＭＳ ゴシック" w:eastAsia="ＭＳ ゴシック" w:hAnsi="ＭＳ ゴシック" w:hint="eastAsia"/>
                              </w:rPr>
                              <w:t>図2　「びるゆれコール」のクライアント画面例（タブレット端末、左：予測値受信時、右：観測値取得時）</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テキスト ボックス 10" o:spid="_x0000_s1026" type="#_x0000_t202" style="position:absolute;left:0;text-align:left;margin-left:.3pt;margin-top:248.35pt;width:475.5pt;height:16.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" filled="f" stroked="f" strokeweight=".5pt">
                <v:textbox inset="0,0,0,0">
                  <w:txbxContent>
                    <w:p w:rsidR="00D501F1" w:rsidRPr="00D501F1" w:rsidRDefault="00D501F1">
                      <w:pPr>
                        <w:rPr>
                          <w:rFonts w:ascii="ＭＳ ゴシック" w:eastAsia="ＭＳ ゴシック" w:hAnsi="ＭＳ ゴシック"/>
                        </w:rPr>
                      </w:pPr>
                      <w:r w:rsidRPr="00D501F1">
                        <w:rPr>
                          <w:rFonts w:ascii="ＭＳ ゴシック" w:eastAsia="ＭＳ ゴシック" w:hAnsi="ＭＳ ゴシック" w:hint="eastAsia"/>
                        </w:rPr>
                        <w:t>図2　「びるゆれコール」のクライアント画面例（タブレット端末、左：予測値受信時、右：観測値取得時）</w:t>
                      </w:r>
                    </w:p>
                  </w:txbxContent>
                </v:textbox>
              </v:shape>
            </w:pict>
          </mc:Fallback>
        </mc:AlternateContent>
      </w:r>
      <w:r w:rsidR="00D501F1">
        <w:rPr>
          <w:rFonts w:ascii="ＭＳ ゴシック" w:eastAsia="ＭＳ ゴシック" w:hAnsi="ＭＳ ゴシック" w:cs="Arial"/>
          <w:sz w:val="16"/>
        </w:rPr>
        <w:br w:type="column"/>
      </w:r>
      <w:r w:rsidR="003701F9" w:rsidRPr="00D501F1">
        <w:rPr>
          <w:rFonts w:ascii="ＭＳ ゴシック" w:eastAsia="ＭＳ ゴシック" w:hAnsi="ＭＳ ゴシック" w:cs="Arial" w:hint="eastAsia"/>
          <w:sz w:val="16"/>
        </w:rPr>
        <w:t>謝辞</w:t>
      </w:r>
    </w:p>
    <w:p w:rsidR="003701F9" w:rsidRDefault="003701F9" w:rsidP="00D501F1">
      <w:pPr>
        <w:spacing w:line="160" w:lineRule="exact"/>
        <w:rPr>
          <w:rFonts w:ascii="ＭＳ 明朝" w:hAnsi="ＭＳ 明朝" w:cs="Arial"/>
          <w:sz w:val="14"/>
        </w:rPr>
      </w:pPr>
      <w:r w:rsidRPr="00D501F1">
        <w:rPr>
          <w:rFonts w:ascii="ＭＳ 明朝" w:hAnsi="ＭＳ 明朝" w:cs="Arial" w:hint="eastAsia"/>
          <w:sz w:val="14"/>
        </w:rPr>
        <w:t>本研究は、官民連携研究開発投資拡大プログラム（PRISM）に基づき、防災科研が主催している公募研究「長周期地震動に関する観測・予測情報の利活用技術開発に関する研究」として実施しています。</w:t>
      </w:r>
    </w:p>
    <w:p w:rsidR="003701F9" w:rsidRPr="00D501F1" w:rsidRDefault="003701F9" w:rsidP="003701F9">
      <w:pPr>
        <w:rPr>
          <w:rFonts w:ascii="ＭＳ ゴシック" w:eastAsia="ＭＳ ゴシック" w:hAnsi="ＭＳ ゴシック" w:cs="Arial"/>
          <w:sz w:val="16"/>
        </w:rPr>
      </w:pPr>
      <w:r w:rsidRPr="00D501F1">
        <w:rPr>
          <w:rFonts w:ascii="ＭＳ ゴシック" w:eastAsia="ＭＳ ゴシック" w:hAnsi="ＭＳ ゴシック" w:cs="Arial" w:hint="eastAsia"/>
          <w:sz w:val="16"/>
        </w:rPr>
        <w:t>参考文献</w:t>
      </w:r>
    </w:p>
    <w:p w:rsidR="00D71966" w:rsidRPr="00D501F1" w:rsidRDefault="003701F9" w:rsidP="00D501F1">
      <w:pPr>
        <w:pStyle w:val="ab"/>
        <w:numPr>
          <w:ilvl w:val="0"/>
          <w:numId w:val="6"/>
        </w:numPr>
        <w:spacing w:line="160" w:lineRule="exact"/>
        <w:ind w:leftChars="0"/>
        <w:rPr>
          <w:rFonts w:ascii="ＭＳ 明朝" w:hAnsi="ＭＳ 明朝" w:cs="Arial"/>
          <w:sz w:val="14"/>
        </w:rPr>
      </w:pPr>
      <w:r w:rsidRPr="00D501F1">
        <w:rPr>
          <w:rFonts w:ascii="ＭＳ 明朝" w:hAnsi="ＭＳ 明朝" w:cs="Arial" w:hint="eastAsia"/>
          <w:sz w:val="14"/>
        </w:rPr>
        <w:t>内閣府、南海トラフ沿いの巨大地震による長周期地震動に関する報告、2015.12</w:t>
      </w:r>
    </w:p>
    <w:p w:rsidR="00D501F1" w:rsidRPr="00D501F1" w:rsidRDefault="003701F9" w:rsidP="00D501F1">
      <w:pPr>
        <w:pStyle w:val="ab"/>
        <w:numPr>
          <w:ilvl w:val="0"/>
          <w:numId w:val="6"/>
        </w:numPr>
        <w:spacing w:line="160" w:lineRule="exact"/>
        <w:ind w:leftChars="0"/>
        <w:rPr>
          <w:rFonts w:ascii="ＭＳ 明朝" w:hAnsi="ＭＳ 明朝" w:cs="Arial"/>
          <w:sz w:val="14"/>
        </w:rPr>
      </w:pPr>
      <w:r w:rsidRPr="00D501F1">
        <w:rPr>
          <w:rFonts w:ascii="ＭＳ 明朝" w:hAnsi="ＭＳ 明朝" w:cs="Arial" w:hint="eastAsia"/>
          <w:sz w:val="14"/>
        </w:rPr>
        <w:t>気象庁、長周期地震動に関する情報検討会・多様なニーズに対応する予測情報検討ワーキンググループ、報告書、2019</w:t>
      </w:r>
    </w:p>
    <w:p w:rsidR="00D501F1" w:rsidRPr="00D501F1" w:rsidRDefault="003701F9" w:rsidP="00D501F1">
      <w:pPr>
        <w:pStyle w:val="ab"/>
        <w:numPr>
          <w:ilvl w:val="0"/>
          <w:numId w:val="6"/>
        </w:numPr>
        <w:spacing w:line="160" w:lineRule="exact"/>
        <w:ind w:leftChars="0"/>
        <w:rPr>
          <w:rFonts w:ascii="ＭＳ 明朝" w:hAnsi="ＭＳ 明朝" w:cs="Arial"/>
          <w:sz w:val="14"/>
        </w:rPr>
      </w:pPr>
      <w:r w:rsidRPr="00D501F1">
        <w:rPr>
          <w:rFonts w:ascii="ＭＳ 明朝" w:hAnsi="ＭＳ 明朝" w:cs="Arial" w:hint="eastAsia"/>
          <w:sz w:val="14"/>
        </w:rPr>
        <w:t>防災科学技術研究所、陸海統合地震津波火山観測網「MOWLAS」（Monitoring of Waves on Land and Seafloor）</w:t>
      </w:r>
    </w:p>
    <w:p w:rsidR="00D501F1" w:rsidRPr="00D501F1" w:rsidRDefault="003701F9" w:rsidP="00D501F1">
      <w:pPr>
        <w:pStyle w:val="ab"/>
        <w:numPr>
          <w:ilvl w:val="0"/>
          <w:numId w:val="6"/>
        </w:numPr>
        <w:spacing w:line="160" w:lineRule="exact"/>
        <w:ind w:leftChars="0"/>
        <w:rPr>
          <w:rFonts w:ascii="ＭＳ 明朝" w:hAnsi="ＭＳ 明朝" w:cs="Arial"/>
          <w:sz w:val="14"/>
        </w:rPr>
      </w:pPr>
      <w:proofErr w:type="spellStart"/>
      <w:r w:rsidRPr="00D501F1">
        <w:rPr>
          <w:rFonts w:ascii="ＭＳ 明朝" w:hAnsi="ＭＳ 明朝" w:cs="Arial"/>
          <w:sz w:val="14"/>
        </w:rPr>
        <w:t>Dhakal,Y.P</w:t>
      </w:r>
      <w:proofErr w:type="spellEnd"/>
      <w:r w:rsidRPr="00D501F1">
        <w:rPr>
          <w:rFonts w:ascii="ＭＳ 明朝" w:hAnsi="ＭＳ 明朝" w:cs="Arial"/>
          <w:sz w:val="14"/>
        </w:rPr>
        <w:t xml:space="preserve">., </w:t>
      </w:r>
      <w:proofErr w:type="spellStart"/>
      <w:r w:rsidRPr="00D501F1">
        <w:rPr>
          <w:rFonts w:ascii="ＭＳ 明朝" w:hAnsi="ＭＳ 明朝" w:cs="Arial"/>
          <w:sz w:val="14"/>
        </w:rPr>
        <w:t>W.Suzuki</w:t>
      </w:r>
      <w:proofErr w:type="spellEnd"/>
      <w:r w:rsidRPr="00D501F1">
        <w:rPr>
          <w:rFonts w:ascii="ＭＳ 明朝" w:hAnsi="ＭＳ 明朝" w:cs="Arial"/>
          <w:sz w:val="14"/>
        </w:rPr>
        <w:t xml:space="preserve">, </w:t>
      </w:r>
      <w:proofErr w:type="spellStart"/>
      <w:r w:rsidRPr="00D501F1">
        <w:rPr>
          <w:rFonts w:ascii="ＭＳ 明朝" w:hAnsi="ＭＳ 明朝" w:cs="Arial"/>
          <w:sz w:val="14"/>
        </w:rPr>
        <w:t>T.Kunugi</w:t>
      </w:r>
      <w:proofErr w:type="spellEnd"/>
      <w:r w:rsidRPr="00D501F1">
        <w:rPr>
          <w:rFonts w:ascii="ＭＳ 明朝" w:hAnsi="ＭＳ 明朝" w:cs="Arial"/>
          <w:sz w:val="14"/>
        </w:rPr>
        <w:t xml:space="preserve">, and </w:t>
      </w:r>
      <w:proofErr w:type="spellStart"/>
      <w:r w:rsidRPr="00D501F1">
        <w:rPr>
          <w:rFonts w:ascii="ＭＳ 明朝" w:hAnsi="ＭＳ 明朝" w:cs="Arial"/>
          <w:sz w:val="14"/>
        </w:rPr>
        <w:t>S.Ao</w:t>
      </w:r>
      <w:proofErr w:type="spellEnd"/>
      <w:r w:rsidRPr="00D501F1">
        <w:rPr>
          <w:rFonts w:ascii="ＭＳ 明朝" w:hAnsi="ＭＳ 明朝" w:cs="Arial"/>
          <w:sz w:val="14"/>
        </w:rPr>
        <w:t>, Ground Motion Prediction</w:t>
      </w:r>
      <w:r w:rsidR="00D501F1" w:rsidRPr="00D501F1">
        <w:rPr>
          <w:rFonts w:ascii="ＭＳ 明朝" w:hAnsi="ＭＳ 明朝" w:cs="Arial"/>
          <w:sz w:val="14"/>
        </w:rPr>
        <w:t xml:space="preserve"> </w:t>
      </w:r>
      <w:r w:rsidRPr="00D501F1">
        <w:rPr>
          <w:rFonts w:ascii="ＭＳ 明朝" w:hAnsi="ＭＳ 明朝" w:cs="Arial" w:hint="eastAsia"/>
          <w:sz w:val="14"/>
        </w:rPr>
        <w:t>Equations for Absolute Velocity Response Spectra(1‐10s) in Japan for</w:t>
      </w:r>
      <w:r w:rsidR="00D501F1" w:rsidRPr="00D501F1">
        <w:rPr>
          <w:rFonts w:ascii="ＭＳ 明朝" w:hAnsi="ＭＳ 明朝" w:cs="Arial"/>
          <w:sz w:val="14"/>
        </w:rPr>
        <w:t xml:space="preserve"> </w:t>
      </w:r>
      <w:r w:rsidRPr="00D501F1">
        <w:rPr>
          <w:rFonts w:ascii="ＭＳ 明朝" w:hAnsi="ＭＳ 明朝" w:cs="Arial" w:hint="eastAsia"/>
          <w:sz w:val="14"/>
        </w:rPr>
        <w:t>Earthquake Early Warning、日本地震工学会論文集、15 巻、91‐111、2015</w:t>
      </w:r>
    </w:p>
    <w:p w:rsidR="00456D05" w:rsidRPr="00D501F1" w:rsidRDefault="003701F9" w:rsidP="00D501F1">
      <w:pPr>
        <w:pStyle w:val="ab"/>
        <w:numPr>
          <w:ilvl w:val="0"/>
          <w:numId w:val="6"/>
        </w:numPr>
        <w:spacing w:line="160" w:lineRule="exact"/>
        <w:ind w:leftChars="0"/>
        <w:rPr>
          <w:rFonts w:ascii="ＭＳ 明朝" w:hAnsi="ＭＳ 明朝" w:cs="Arial"/>
          <w:sz w:val="14"/>
        </w:rPr>
      </w:pPr>
      <w:r w:rsidRPr="00D501F1">
        <w:rPr>
          <w:rFonts w:ascii="ＭＳ 明朝" w:hAnsi="ＭＳ 明朝" w:cs="Arial" w:hint="eastAsia"/>
          <w:sz w:val="14"/>
        </w:rPr>
        <w:t>大宮憲司、久田嘉章、応答スペクトルを用いた超高層建築の簡易応答評価に関する研究、日本建築学会大会学術講演梗概集（近畿）、pp.1011-1012、2014</w:t>
      </w:r>
    </w:p>
    <w:p w:rsidR="00456D05" w:rsidRPr="00D501F1" w:rsidRDefault="00456D05" w:rsidP="00D501F1">
      <w:pPr>
        <w:spacing w:line="160" w:lineRule="exact"/>
        <w:rPr>
          <w:rFonts w:ascii="ＭＳ 明朝" w:hAnsi="ＭＳ 明朝" w:cs="Arial"/>
          <w:sz w:val="14"/>
        </w:rPr>
      </w:pPr>
    </w:p>
    <w:p w:rsidR="00456D05" w:rsidRDefault="00456D05" w:rsidP="00456D05">
      <w:pPr>
        <w:rPr>
          <w:rFonts w:ascii="ＭＳ 明朝" w:hAnsi="ＭＳ 明朝" w:cs="Arial"/>
        </w:rPr>
      </w:pPr>
    </w:p>
    <w:p w:rsidR="00456D05" w:rsidRDefault="00456D05" w:rsidP="00456D05">
      <w:pPr>
        <w:rPr>
          <w:rFonts w:ascii="ＭＳ 明朝" w:hAnsi="ＭＳ 明朝" w:cs="Arial"/>
        </w:rPr>
      </w:pPr>
    </w:p>
    <w:p w:rsidR="00456D05" w:rsidRDefault="00456D05" w:rsidP="00456D05">
      <w:pPr>
        <w:rPr>
          <w:rFonts w:ascii="ＭＳ 明朝" w:hAnsi="ＭＳ 明朝" w:cs="Arial"/>
        </w:rPr>
      </w:pPr>
    </w:p>
    <w:p w:rsidR="00456D05" w:rsidRDefault="00456D05" w:rsidP="00456D05">
      <w:pPr>
        <w:rPr>
          <w:rFonts w:ascii="ＭＳ 明朝" w:hAnsi="ＭＳ 明朝" w:cs="Arial"/>
        </w:rPr>
      </w:pPr>
    </w:p>
    <w:p w:rsidR="00456D05" w:rsidRDefault="00456D05" w:rsidP="00456D05">
      <w:pPr>
        <w:rPr>
          <w:rFonts w:ascii="ＭＳ 明朝" w:hAnsi="ＭＳ 明朝" w:cs="Arial"/>
        </w:rPr>
      </w:pPr>
    </w:p>
    <w:p w:rsidR="00456D05" w:rsidRDefault="00456D05" w:rsidP="00456D05">
      <w:pPr>
        <w:rPr>
          <w:rFonts w:ascii="ＭＳ 明朝" w:hAnsi="ＭＳ 明朝" w:cs="Arial"/>
        </w:rPr>
      </w:pPr>
    </w:p>
    <w:p w:rsidR="00456D05" w:rsidRDefault="00456D05" w:rsidP="00456D05">
      <w:pPr>
        <w:rPr>
          <w:rFonts w:ascii="ＭＳ 明朝" w:hAnsi="ＭＳ 明朝" w:cs="Arial"/>
        </w:rPr>
      </w:pPr>
    </w:p>
    <w:p w:rsidR="00456D05" w:rsidRDefault="00456D05" w:rsidP="00456D05">
      <w:pPr>
        <w:rPr>
          <w:rFonts w:ascii="ＭＳ 明朝" w:hAnsi="ＭＳ 明朝" w:cs="Arial"/>
        </w:rPr>
      </w:pPr>
    </w:p>
    <w:p w:rsidR="00456D05" w:rsidRDefault="00456D05" w:rsidP="00456D05">
      <w:pPr>
        <w:rPr>
          <w:rFonts w:ascii="ＭＳ 明朝" w:hAnsi="ＭＳ 明朝" w:cs="Arial"/>
        </w:rPr>
      </w:pPr>
    </w:p>
    <w:p w:rsidR="00456D05" w:rsidRDefault="00456D05" w:rsidP="00456D05">
      <w:pPr>
        <w:rPr>
          <w:rFonts w:ascii="ＭＳ 明朝" w:hAnsi="ＭＳ 明朝" w:cs="Arial"/>
        </w:rPr>
      </w:pPr>
    </w:p>
    <w:p w:rsidR="00456D05" w:rsidRDefault="00456D05" w:rsidP="00456D05">
      <w:pPr>
        <w:rPr>
          <w:rFonts w:ascii="ＭＳ 明朝" w:hAnsi="ＭＳ 明朝" w:cs="Arial"/>
        </w:rPr>
      </w:pPr>
    </w:p>
    <w:p w:rsidR="00456D05" w:rsidRDefault="00456D05" w:rsidP="00456D05">
      <w:pPr>
        <w:rPr>
          <w:rFonts w:ascii="ＭＳ 明朝" w:hAnsi="ＭＳ 明朝" w:cs="Arial"/>
        </w:rPr>
      </w:pPr>
    </w:p>
    <w:p w:rsidR="00456D05" w:rsidRDefault="00456D05" w:rsidP="00456D05">
      <w:pPr>
        <w:rPr>
          <w:rFonts w:ascii="ＭＳ 明朝" w:hAnsi="ＭＳ 明朝" w:cs="Arial"/>
        </w:rPr>
      </w:pPr>
    </w:p>
    <w:p w:rsidR="00456D05" w:rsidRDefault="00456D05" w:rsidP="00456D05">
      <w:pPr>
        <w:rPr>
          <w:rFonts w:ascii="ＭＳ 明朝" w:hAnsi="ＭＳ 明朝" w:cs="Arial"/>
        </w:rPr>
      </w:pPr>
    </w:p>
    <w:p w:rsidR="00456D05" w:rsidRDefault="00456D05" w:rsidP="00456D05">
      <w:pPr>
        <w:rPr>
          <w:rFonts w:ascii="ＭＳ 明朝" w:hAnsi="ＭＳ 明朝" w:cs="Arial"/>
        </w:rPr>
      </w:pPr>
    </w:p>
    <w:p w:rsidR="00456D05" w:rsidRDefault="00D501F1" w:rsidP="00456D05">
      <w:pPr>
        <w:rPr>
          <w:rFonts w:ascii="ＭＳ 明朝" w:hAnsi="ＭＳ 明朝" w:cs="Arial"/>
        </w:rPr>
      </w:pPr>
      <w:r w:rsidRPr="0029033C">
        <w:rPr>
          <w:rFonts w:hint="eastAsia"/>
          <w:noProof/>
        </w:rPr>
        <w:drawing>
          <wp:anchor distT="0" distB="0" distL="114300" distR="114300" simplePos="0" relativeHeight="251663360" behindDoc="0" locked="0" layoutInCell="1" allowOverlap="1" wp14:anchorId="72E4081F" wp14:editId="311873EA">
            <wp:simplePos x="0" y="0"/>
            <wp:positionH relativeFrom="column">
              <wp:posOffset>-2635885</wp:posOffset>
            </wp:positionH>
            <wp:positionV relativeFrom="paragraph">
              <wp:posOffset>316865</wp:posOffset>
            </wp:positionV>
            <wp:extent cx="4984750" cy="3319145"/>
            <wp:effectExtent l="0" t="0" r="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84750" cy="33191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56D05" w:rsidRDefault="00456D05" w:rsidP="00456D05">
      <w:pPr>
        <w:rPr>
          <w:rFonts w:ascii="ＭＳ 明朝" w:hAnsi="ＭＳ 明朝" w:cs="Arial"/>
        </w:rPr>
      </w:pPr>
    </w:p>
    <w:p w:rsidR="00456D05" w:rsidRDefault="00456D05" w:rsidP="00456D05">
      <w:pPr>
        <w:rPr>
          <w:rFonts w:ascii="ＭＳ 明朝" w:hAnsi="ＭＳ 明朝" w:cs="Arial"/>
        </w:rPr>
      </w:pPr>
    </w:p>
    <w:p w:rsidR="00456D05" w:rsidRDefault="00456D05" w:rsidP="00456D05">
      <w:pPr>
        <w:rPr>
          <w:rFonts w:ascii="ＭＳ 明朝" w:hAnsi="ＭＳ 明朝" w:cs="Arial"/>
        </w:rPr>
      </w:pPr>
    </w:p>
    <w:p w:rsidR="00456D05" w:rsidRDefault="00456D05" w:rsidP="00456D05">
      <w:pPr>
        <w:rPr>
          <w:rFonts w:ascii="ＭＳ 明朝" w:hAnsi="ＭＳ 明朝" w:cs="Arial"/>
        </w:rPr>
      </w:pPr>
    </w:p>
    <w:p w:rsidR="00456D05" w:rsidRDefault="00456D05" w:rsidP="00456D05">
      <w:pPr>
        <w:rPr>
          <w:rFonts w:ascii="ＭＳ 明朝" w:hAnsi="ＭＳ 明朝" w:cs="Arial"/>
        </w:rPr>
      </w:pPr>
    </w:p>
    <w:p w:rsidR="00456D05" w:rsidRDefault="00456D05" w:rsidP="00456D05">
      <w:pPr>
        <w:rPr>
          <w:rFonts w:ascii="ＭＳ 明朝" w:hAnsi="ＭＳ 明朝" w:cs="Arial"/>
        </w:rPr>
      </w:pPr>
    </w:p>
    <w:p w:rsidR="00456D05" w:rsidRDefault="00456D05" w:rsidP="00456D05">
      <w:pPr>
        <w:rPr>
          <w:rFonts w:ascii="ＭＳ 明朝" w:hAnsi="ＭＳ 明朝" w:cs="Arial"/>
        </w:rPr>
      </w:pPr>
    </w:p>
    <w:p w:rsidR="00456D05" w:rsidRDefault="00456D05" w:rsidP="00456D05">
      <w:pPr>
        <w:rPr>
          <w:rFonts w:ascii="ＭＳ 明朝" w:hAnsi="ＭＳ 明朝" w:cs="Arial"/>
        </w:rPr>
      </w:pPr>
    </w:p>
    <w:p w:rsidR="00456D05" w:rsidRDefault="00456D05" w:rsidP="00456D05">
      <w:pPr>
        <w:rPr>
          <w:rFonts w:ascii="ＭＳ 明朝" w:hAnsi="ＭＳ 明朝" w:cs="Arial"/>
        </w:rPr>
      </w:pPr>
    </w:p>
    <w:p w:rsidR="00456D05" w:rsidRPr="00D303D4" w:rsidRDefault="00D501F1" w:rsidP="00456D05">
      <w:pPr>
        <w:rPr>
          <w:rFonts w:ascii="ＭＳ 明朝" w:hAnsi="ＭＳ 明朝" w:cs="Arial"/>
        </w:rPr>
      </w:pPr>
      <w:r>
        <w:rPr>
          <w:rFonts w:ascii="ＭＳ 明朝" w:hAnsi="ＭＳ 明朝" w:cs="Arial"/>
          <w:noProof/>
        </w:rPr>
        <mc:AlternateContent>
          <mc:Choice Requires="wps">
            <w:drawing>
              <wp:anchor distT="0" distB="0" distL="114300" distR="114300" simplePos="0" relativeHeight="251666432" behindDoc="0" locked="0" layoutInCell="1" allowOverlap="1" wp14:anchorId="56B516C0" wp14:editId="7C36A23B">
                <wp:simplePos x="0" y="0"/>
                <wp:positionH relativeFrom="column">
                  <wp:posOffset>-3162300</wp:posOffset>
                </wp:positionH>
                <wp:positionV relativeFrom="paragraph">
                  <wp:posOffset>1583055</wp:posOffset>
                </wp:positionV>
                <wp:extent cx="6038850" cy="209550"/>
                <wp:effectExtent l="0" t="0" r="0" b="0"/>
                <wp:wrapNone/>
                <wp:docPr id="14" name="テキスト ボックス 14"/>
                <wp:cNvGraphicFramePr/>
                <a:graphic xmlns:a="http://schemas.openxmlformats.org/drawingml/2006/main">
                  <a:graphicData uri="http://schemas.microsoft.com/office/word/2010/wordprocessingShape">
                    <wps:wsp>
                      <wps:cNvSpPr txBox="1"/>
                      <wps:spPr>
                        <a:xfrm>
                          <a:off x="0" y="0"/>
                          <a:ext cx="6038850" cy="209550"/>
                        </a:xfrm>
                        <a:prstGeom prst="rect">
                          <a:avLst/>
                        </a:prstGeom>
                        <a:noFill/>
                        <a:ln w="6350">
                          <a:noFill/>
                        </a:ln>
                      </wps:spPr>
                      <wps:txbx>
                        <w:txbxContent>
                          <w:p w:rsidR="00D501F1" w:rsidRPr="00D501F1" w:rsidRDefault="00D501F1" w:rsidP="00D501F1">
                            <w:pPr>
                              <w:rPr>
                                <w:rFonts w:ascii="ＭＳ ゴシック" w:eastAsia="ＭＳ ゴシック" w:hAnsi="ＭＳ ゴシック"/>
                              </w:rPr>
                            </w:pPr>
                            <w:r w:rsidRPr="00D501F1">
                              <w:rPr>
                                <w:rFonts w:ascii="ＭＳ ゴシック" w:eastAsia="ＭＳ ゴシック" w:hAnsi="ＭＳ ゴシック" w:hint="eastAsia"/>
                              </w:rPr>
                              <w:t>図</w:t>
                            </w:r>
                            <w:r>
                              <w:rPr>
                                <w:rFonts w:ascii="ＭＳ ゴシック" w:eastAsia="ＭＳ ゴシック" w:hAnsi="ＭＳ ゴシック"/>
                              </w:rPr>
                              <w:t>4</w:t>
                            </w:r>
                            <w:r w:rsidRPr="00D501F1">
                              <w:rPr>
                                <w:rFonts w:ascii="ＭＳ ゴシック" w:eastAsia="ＭＳ ゴシック" w:hAnsi="ＭＳ ゴシック" w:hint="eastAsia"/>
                              </w:rPr>
                              <w:t xml:space="preserve">　「びるゆれコール」プロトタイプの管理端末側アプリ画面（一覧：過去の予測値・推定値一覧）</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6B516C0" id="テキスト ボックス 14" o:spid="_x0000_s1027" type="#_x0000_t202" style="position:absolute;left:0;text-align:left;margin-left:-249pt;margin-top:124.65pt;width:475.5pt;height:16.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" filled="f" stroked="f" strokeweight=".5pt">
                <v:textbox inset="0,0,0,0">
                  <w:txbxContent>
                    <w:p w:rsidR="00D501F1" w:rsidRPr="00D501F1" w:rsidRDefault="00D501F1" w:rsidP="00D501F1">
                      <w:pPr>
                        <w:rPr>
                          <w:rFonts w:ascii="ＭＳ ゴシック" w:eastAsia="ＭＳ ゴシック" w:hAnsi="ＭＳ ゴシック"/>
                        </w:rPr>
                      </w:pPr>
                      <w:r w:rsidRPr="00D501F1">
                        <w:rPr>
                          <w:rFonts w:ascii="ＭＳ ゴシック" w:eastAsia="ＭＳ ゴシック" w:hAnsi="ＭＳ ゴシック" w:hint="eastAsia"/>
                        </w:rPr>
                        <w:t>図</w:t>
                      </w:r>
                      <w:r>
                        <w:rPr>
                          <w:rFonts w:ascii="ＭＳ ゴシック" w:eastAsia="ＭＳ ゴシック" w:hAnsi="ＭＳ ゴシック"/>
                        </w:rPr>
                        <w:t>4</w:t>
                      </w:r>
                      <w:r w:rsidRPr="00D501F1">
                        <w:rPr>
                          <w:rFonts w:ascii="ＭＳ ゴシック" w:eastAsia="ＭＳ ゴシック" w:hAnsi="ＭＳ ゴシック" w:hint="eastAsia"/>
                        </w:rPr>
                        <w:t xml:space="preserve">　「びるゆれコール」プロトタイプの管理端末側アプリ画面（一覧：過去の予測値・推定値一覧）</w:t>
                      </w:r>
                    </w:p>
                  </w:txbxContent>
                </v:textbox>
              </v:shape>
            </w:pict>
          </mc:Fallback>
        </mc:AlternateContent>
      </w:r>
    </w:p>
    <w:sectPr w:rsidR="00456D05" w:rsidRPr="00D303D4" w:rsidSect="007D0BFE">
      <w:type w:val="continuous"/>
      <w:pgSz w:w="11906" w:h="16838" w:code="9"/>
      <w:pgMar w:top="1418" w:right="1134" w:bottom="1418" w:left="1134" w:header="851" w:footer="567" w:gutter="0"/>
      <w:cols w:num="2" w:space="340"/>
      <w:docGrid w:type="linesAndChars" w:linePitch="314" w:charSpace="345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03371" w:rsidRDefault="00803371">
      <w:r>
        <w:separator/>
      </w:r>
    </w:p>
  </w:endnote>
  <w:endnote w:type="continuationSeparator" w:id="0">
    <w:p w:rsidR="00803371" w:rsidRDefault="008033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03371" w:rsidRDefault="00803371">
      <w:r>
        <w:separator/>
      </w:r>
    </w:p>
  </w:footnote>
  <w:footnote w:type="continuationSeparator" w:id="0">
    <w:p w:rsidR="00803371" w:rsidRDefault="008033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E650E" w:rsidRDefault="00CE650E" w:rsidP="00792E3A">
    <w:pPr>
      <w:pStyle w:val="a3"/>
      <w:tabs>
        <w:tab w:val="clear" w:pos="4252"/>
        <w:tab w:val="center" w:pos="3686"/>
      </w:tabs>
      <w:jc w:val="right"/>
    </w:pPr>
    <w:r>
      <w:rPr>
        <w:rFonts w:hint="eastAsia"/>
      </w:rPr>
      <w:t xml:space="preserve">　　　　　　　　　　　　　文部科学省</w:t>
    </w:r>
    <w:r>
      <w:rPr>
        <w:rFonts w:hint="eastAsia"/>
      </w:rPr>
      <w:t xml:space="preserve"> </w:t>
    </w:r>
    <w:r w:rsidRPr="00D6394A">
      <w:rPr>
        <w:rFonts w:hint="eastAsia"/>
      </w:rPr>
      <w:t>私立大学研究ブランディング事業</w:t>
    </w:r>
    <w:r>
      <w:rPr>
        <w:rFonts w:hint="eastAsia"/>
      </w:rPr>
      <w:t>（令和元年度）</w:t>
    </w:r>
  </w:p>
  <w:p w:rsidR="00CE650E" w:rsidRPr="00CB0C17" w:rsidRDefault="00CE650E" w:rsidP="00792E3A">
    <w:pPr>
      <w:pStyle w:val="a3"/>
      <w:tabs>
        <w:tab w:val="clear" w:pos="4252"/>
        <w:tab w:val="center" w:pos="3686"/>
      </w:tabs>
      <w:jc w:val="right"/>
      <w:rPr>
        <w:b/>
      </w:rPr>
    </w:pPr>
    <w:r>
      <w:rPr>
        <w:rFonts w:hint="eastAsia"/>
      </w:rPr>
      <w:t>工学院大学</w:t>
    </w:r>
    <w:r w:rsidRPr="00532544">
      <w:rPr>
        <w:rFonts w:hint="eastAsia"/>
      </w:rPr>
      <w:t>総合研究所</w:t>
    </w:r>
    <w:r>
      <w:rPr>
        <w:rFonts w:hint="eastAsia"/>
      </w:rPr>
      <w:t xml:space="preserve"> </w:t>
    </w:r>
    <w:r w:rsidRPr="00532544">
      <w:rPr>
        <w:rFonts w:hint="eastAsia"/>
      </w:rPr>
      <w:t>都市減災研究センター（</w:t>
    </w:r>
    <w:r w:rsidRPr="00532544">
      <w:rPr>
        <w:rFonts w:hint="eastAsia"/>
      </w:rPr>
      <w:t>UDM</w:t>
    </w:r>
    <w:r w:rsidRPr="00532544">
      <w:rPr>
        <w:rFonts w:hint="eastAsia"/>
      </w:rPr>
      <w:t>）</w:t>
    </w:r>
    <w:r>
      <w:rPr>
        <w:rFonts w:hint="eastAsia"/>
      </w:rPr>
      <w:t>成果報告書</w:t>
    </w:r>
    <w:r>
      <w:rPr>
        <w:rFonts w:hint="eastAsia"/>
      </w:rPr>
      <w:t xml:space="preserve"> </w:t>
    </w:r>
    <w:r w:rsidRPr="00CB0C17">
      <w:rPr>
        <w:rFonts w:hint="eastAsia"/>
        <w:b/>
      </w:rPr>
      <w:t>テーマ</w:t>
    </w:r>
    <w:r w:rsidRPr="00CB0C17">
      <w:rPr>
        <w:rFonts w:hint="eastAsia"/>
        <w:b/>
      </w:rPr>
      <w:t>1</w:t>
    </w:r>
    <w:r w:rsidR="00D303D4">
      <w:rPr>
        <w:rFonts w:hint="eastAsia"/>
        <w:b/>
      </w:rPr>
      <w:t>・テーマ</w:t>
    </w:r>
    <w:r w:rsidR="00D303D4">
      <w:rPr>
        <w:rFonts w:hint="eastAsia"/>
        <w:b/>
      </w:rPr>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4C1BC5"/>
    <w:multiLevelType w:val="hybridMultilevel"/>
    <w:tmpl w:val="4244B154"/>
    <w:lvl w:ilvl="0" w:tplc="8664244E">
      <w:start w:val="1"/>
      <w:numFmt w:val="decimal"/>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 w15:restartNumberingAfterBreak="0">
    <w:nsid w:val="171F2FC0"/>
    <w:multiLevelType w:val="hybridMultilevel"/>
    <w:tmpl w:val="311C85F4"/>
    <w:lvl w:ilvl="0" w:tplc="B33CBAFA">
      <w:start w:val="1"/>
      <w:numFmt w:val="bullet"/>
      <w:lvlText w:val=""/>
      <w:lvlJc w:val="left"/>
      <w:pPr>
        <w:ind w:left="617" w:hanging="420"/>
      </w:pPr>
      <w:rPr>
        <w:rFonts w:ascii="Wingdings" w:hAnsi="Wingdings" w:hint="default"/>
      </w:rPr>
    </w:lvl>
    <w:lvl w:ilvl="1" w:tplc="0409000B" w:tentative="1">
      <w:start w:val="1"/>
      <w:numFmt w:val="bullet"/>
      <w:lvlText w:val=""/>
      <w:lvlJc w:val="left"/>
      <w:pPr>
        <w:ind w:left="1037" w:hanging="420"/>
      </w:pPr>
      <w:rPr>
        <w:rFonts w:ascii="Wingdings" w:hAnsi="Wingdings" w:hint="default"/>
      </w:rPr>
    </w:lvl>
    <w:lvl w:ilvl="2" w:tplc="0409000D" w:tentative="1">
      <w:start w:val="1"/>
      <w:numFmt w:val="bullet"/>
      <w:lvlText w:val=""/>
      <w:lvlJc w:val="left"/>
      <w:pPr>
        <w:ind w:left="1457" w:hanging="420"/>
      </w:pPr>
      <w:rPr>
        <w:rFonts w:ascii="Wingdings" w:hAnsi="Wingdings" w:hint="default"/>
      </w:rPr>
    </w:lvl>
    <w:lvl w:ilvl="3" w:tplc="04090001" w:tentative="1">
      <w:start w:val="1"/>
      <w:numFmt w:val="bullet"/>
      <w:lvlText w:val=""/>
      <w:lvlJc w:val="left"/>
      <w:pPr>
        <w:ind w:left="1877" w:hanging="420"/>
      </w:pPr>
      <w:rPr>
        <w:rFonts w:ascii="Wingdings" w:hAnsi="Wingdings" w:hint="default"/>
      </w:rPr>
    </w:lvl>
    <w:lvl w:ilvl="4" w:tplc="0409000B" w:tentative="1">
      <w:start w:val="1"/>
      <w:numFmt w:val="bullet"/>
      <w:lvlText w:val=""/>
      <w:lvlJc w:val="left"/>
      <w:pPr>
        <w:ind w:left="2297" w:hanging="420"/>
      </w:pPr>
      <w:rPr>
        <w:rFonts w:ascii="Wingdings" w:hAnsi="Wingdings" w:hint="default"/>
      </w:rPr>
    </w:lvl>
    <w:lvl w:ilvl="5" w:tplc="0409000D" w:tentative="1">
      <w:start w:val="1"/>
      <w:numFmt w:val="bullet"/>
      <w:lvlText w:val=""/>
      <w:lvlJc w:val="left"/>
      <w:pPr>
        <w:ind w:left="2717" w:hanging="420"/>
      </w:pPr>
      <w:rPr>
        <w:rFonts w:ascii="Wingdings" w:hAnsi="Wingdings" w:hint="default"/>
      </w:rPr>
    </w:lvl>
    <w:lvl w:ilvl="6" w:tplc="04090001" w:tentative="1">
      <w:start w:val="1"/>
      <w:numFmt w:val="bullet"/>
      <w:lvlText w:val=""/>
      <w:lvlJc w:val="left"/>
      <w:pPr>
        <w:ind w:left="3137" w:hanging="420"/>
      </w:pPr>
      <w:rPr>
        <w:rFonts w:ascii="Wingdings" w:hAnsi="Wingdings" w:hint="default"/>
      </w:rPr>
    </w:lvl>
    <w:lvl w:ilvl="7" w:tplc="0409000B" w:tentative="1">
      <w:start w:val="1"/>
      <w:numFmt w:val="bullet"/>
      <w:lvlText w:val=""/>
      <w:lvlJc w:val="left"/>
      <w:pPr>
        <w:ind w:left="3557" w:hanging="420"/>
      </w:pPr>
      <w:rPr>
        <w:rFonts w:ascii="Wingdings" w:hAnsi="Wingdings" w:hint="default"/>
      </w:rPr>
    </w:lvl>
    <w:lvl w:ilvl="8" w:tplc="0409000D" w:tentative="1">
      <w:start w:val="1"/>
      <w:numFmt w:val="bullet"/>
      <w:lvlText w:val=""/>
      <w:lvlJc w:val="left"/>
      <w:pPr>
        <w:ind w:left="3977" w:hanging="420"/>
      </w:pPr>
      <w:rPr>
        <w:rFonts w:ascii="Wingdings" w:hAnsi="Wingdings" w:hint="default"/>
      </w:rPr>
    </w:lvl>
  </w:abstractNum>
  <w:abstractNum w:abstractNumId="2" w15:restartNumberingAfterBreak="0">
    <w:nsid w:val="72CA07F8"/>
    <w:multiLevelType w:val="hybridMultilevel"/>
    <w:tmpl w:val="D214C38E"/>
    <w:lvl w:ilvl="0" w:tplc="15129250">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75620E3E"/>
    <w:multiLevelType w:val="singleLevel"/>
    <w:tmpl w:val="0C846A98"/>
    <w:lvl w:ilvl="0">
      <w:start w:val="1"/>
      <w:numFmt w:val="decimal"/>
      <w:lvlText w:val="%1."/>
      <w:lvlJc w:val="left"/>
      <w:pPr>
        <w:tabs>
          <w:tab w:val="num" w:pos="252"/>
        </w:tabs>
        <w:ind w:left="252" w:hanging="252"/>
      </w:pPr>
      <w:rPr>
        <w:rFonts w:hint="eastAsia"/>
      </w:rPr>
    </w:lvl>
  </w:abstractNum>
  <w:abstractNum w:abstractNumId="4" w15:restartNumberingAfterBreak="0">
    <w:nsid w:val="78425548"/>
    <w:multiLevelType w:val="hybridMultilevel"/>
    <w:tmpl w:val="F4224644"/>
    <w:lvl w:ilvl="0" w:tplc="B33CBAFA">
      <w:start w:val="1"/>
      <w:numFmt w:val="bullet"/>
      <w:lvlText w:val=""/>
      <w:lvlJc w:val="left"/>
      <w:pPr>
        <w:ind w:left="617" w:hanging="420"/>
      </w:pPr>
      <w:rPr>
        <w:rFonts w:ascii="Wingdings" w:hAnsi="Wingdings" w:hint="default"/>
      </w:rPr>
    </w:lvl>
    <w:lvl w:ilvl="1" w:tplc="0409000B" w:tentative="1">
      <w:start w:val="1"/>
      <w:numFmt w:val="bullet"/>
      <w:lvlText w:val=""/>
      <w:lvlJc w:val="left"/>
      <w:pPr>
        <w:ind w:left="1037" w:hanging="420"/>
      </w:pPr>
      <w:rPr>
        <w:rFonts w:ascii="Wingdings" w:hAnsi="Wingdings" w:hint="default"/>
      </w:rPr>
    </w:lvl>
    <w:lvl w:ilvl="2" w:tplc="0409000D" w:tentative="1">
      <w:start w:val="1"/>
      <w:numFmt w:val="bullet"/>
      <w:lvlText w:val=""/>
      <w:lvlJc w:val="left"/>
      <w:pPr>
        <w:ind w:left="1457" w:hanging="420"/>
      </w:pPr>
      <w:rPr>
        <w:rFonts w:ascii="Wingdings" w:hAnsi="Wingdings" w:hint="default"/>
      </w:rPr>
    </w:lvl>
    <w:lvl w:ilvl="3" w:tplc="04090001" w:tentative="1">
      <w:start w:val="1"/>
      <w:numFmt w:val="bullet"/>
      <w:lvlText w:val=""/>
      <w:lvlJc w:val="left"/>
      <w:pPr>
        <w:ind w:left="1877" w:hanging="420"/>
      </w:pPr>
      <w:rPr>
        <w:rFonts w:ascii="Wingdings" w:hAnsi="Wingdings" w:hint="default"/>
      </w:rPr>
    </w:lvl>
    <w:lvl w:ilvl="4" w:tplc="0409000B" w:tentative="1">
      <w:start w:val="1"/>
      <w:numFmt w:val="bullet"/>
      <w:lvlText w:val=""/>
      <w:lvlJc w:val="left"/>
      <w:pPr>
        <w:ind w:left="2297" w:hanging="420"/>
      </w:pPr>
      <w:rPr>
        <w:rFonts w:ascii="Wingdings" w:hAnsi="Wingdings" w:hint="default"/>
      </w:rPr>
    </w:lvl>
    <w:lvl w:ilvl="5" w:tplc="0409000D" w:tentative="1">
      <w:start w:val="1"/>
      <w:numFmt w:val="bullet"/>
      <w:lvlText w:val=""/>
      <w:lvlJc w:val="left"/>
      <w:pPr>
        <w:ind w:left="2717" w:hanging="420"/>
      </w:pPr>
      <w:rPr>
        <w:rFonts w:ascii="Wingdings" w:hAnsi="Wingdings" w:hint="default"/>
      </w:rPr>
    </w:lvl>
    <w:lvl w:ilvl="6" w:tplc="04090001" w:tentative="1">
      <w:start w:val="1"/>
      <w:numFmt w:val="bullet"/>
      <w:lvlText w:val=""/>
      <w:lvlJc w:val="left"/>
      <w:pPr>
        <w:ind w:left="3137" w:hanging="420"/>
      </w:pPr>
      <w:rPr>
        <w:rFonts w:ascii="Wingdings" w:hAnsi="Wingdings" w:hint="default"/>
      </w:rPr>
    </w:lvl>
    <w:lvl w:ilvl="7" w:tplc="0409000B" w:tentative="1">
      <w:start w:val="1"/>
      <w:numFmt w:val="bullet"/>
      <w:lvlText w:val=""/>
      <w:lvlJc w:val="left"/>
      <w:pPr>
        <w:ind w:left="3557" w:hanging="420"/>
      </w:pPr>
      <w:rPr>
        <w:rFonts w:ascii="Wingdings" w:hAnsi="Wingdings" w:hint="default"/>
      </w:rPr>
    </w:lvl>
    <w:lvl w:ilvl="8" w:tplc="0409000D" w:tentative="1">
      <w:start w:val="1"/>
      <w:numFmt w:val="bullet"/>
      <w:lvlText w:val=""/>
      <w:lvlJc w:val="left"/>
      <w:pPr>
        <w:ind w:left="3977" w:hanging="420"/>
      </w:pPr>
      <w:rPr>
        <w:rFonts w:ascii="Wingdings" w:hAnsi="Wingdings" w:hint="default"/>
      </w:rPr>
    </w:lvl>
  </w:abstractNum>
  <w:abstractNum w:abstractNumId="5" w15:restartNumberingAfterBreak="0">
    <w:nsid w:val="7D7671E4"/>
    <w:multiLevelType w:val="hybridMultilevel"/>
    <w:tmpl w:val="2946B5FE"/>
    <w:lvl w:ilvl="0" w:tplc="B308B884">
      <w:start w:val="1"/>
      <w:numFmt w:val="decimalFullWidth"/>
      <w:lvlText w:val="%1."/>
      <w:lvlJc w:val="right"/>
      <w:pPr>
        <w:tabs>
          <w:tab w:val="num" w:pos="703"/>
        </w:tabs>
        <w:ind w:left="703" w:hanging="13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num w:numId="1">
    <w:abstractNumId w:val="3"/>
  </w:num>
  <w:num w:numId="2">
    <w:abstractNumId w:val="5"/>
  </w:num>
  <w:num w:numId="3">
    <w:abstractNumId w:val="0"/>
  </w:num>
  <w:num w:numId="4">
    <w:abstractNumId w:val="1"/>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51"/>
  <w:drawingGridHorizontalSpacing w:val="20"/>
  <w:drawingGridVerticalSpacing w:val="3"/>
  <w:displayHorizontalDrawingGridEvery w:val="2"/>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54C2"/>
    <w:rsid w:val="00002D25"/>
    <w:rsid w:val="00003E1B"/>
    <w:rsid w:val="00003F22"/>
    <w:rsid w:val="000044AA"/>
    <w:rsid w:val="00007C3F"/>
    <w:rsid w:val="00011C86"/>
    <w:rsid w:val="00013513"/>
    <w:rsid w:val="000165D5"/>
    <w:rsid w:val="00020550"/>
    <w:rsid w:val="00021C2B"/>
    <w:rsid w:val="00022D3A"/>
    <w:rsid w:val="0002762D"/>
    <w:rsid w:val="000338A3"/>
    <w:rsid w:val="000355CA"/>
    <w:rsid w:val="00043042"/>
    <w:rsid w:val="00050A0E"/>
    <w:rsid w:val="00051C74"/>
    <w:rsid w:val="00054324"/>
    <w:rsid w:val="000545E0"/>
    <w:rsid w:val="00055F2F"/>
    <w:rsid w:val="000601BE"/>
    <w:rsid w:val="000670AF"/>
    <w:rsid w:val="00067EBA"/>
    <w:rsid w:val="00067F5A"/>
    <w:rsid w:val="000711DD"/>
    <w:rsid w:val="000804CD"/>
    <w:rsid w:val="00084A10"/>
    <w:rsid w:val="00090691"/>
    <w:rsid w:val="00090B64"/>
    <w:rsid w:val="00092B13"/>
    <w:rsid w:val="00095612"/>
    <w:rsid w:val="0009619A"/>
    <w:rsid w:val="000962C4"/>
    <w:rsid w:val="000A2C13"/>
    <w:rsid w:val="000A430F"/>
    <w:rsid w:val="000A588D"/>
    <w:rsid w:val="000A7280"/>
    <w:rsid w:val="000A7642"/>
    <w:rsid w:val="000B0E19"/>
    <w:rsid w:val="000B5240"/>
    <w:rsid w:val="000C37DC"/>
    <w:rsid w:val="000C71A9"/>
    <w:rsid w:val="000C7A8C"/>
    <w:rsid w:val="000D691A"/>
    <w:rsid w:val="000E1C1C"/>
    <w:rsid w:val="000E38EB"/>
    <w:rsid w:val="000E5523"/>
    <w:rsid w:val="000E6AF4"/>
    <w:rsid w:val="000F2A5F"/>
    <w:rsid w:val="000F4120"/>
    <w:rsid w:val="000F6569"/>
    <w:rsid w:val="0010062E"/>
    <w:rsid w:val="00104AD8"/>
    <w:rsid w:val="00115F5F"/>
    <w:rsid w:val="00117449"/>
    <w:rsid w:val="0012260F"/>
    <w:rsid w:val="00123AC8"/>
    <w:rsid w:val="001370C0"/>
    <w:rsid w:val="00147DB0"/>
    <w:rsid w:val="00151FB3"/>
    <w:rsid w:val="001525D2"/>
    <w:rsid w:val="0015323A"/>
    <w:rsid w:val="00156C3A"/>
    <w:rsid w:val="001636B4"/>
    <w:rsid w:val="0016463A"/>
    <w:rsid w:val="00177617"/>
    <w:rsid w:val="0018291C"/>
    <w:rsid w:val="00184CB2"/>
    <w:rsid w:val="00186FE2"/>
    <w:rsid w:val="001876E3"/>
    <w:rsid w:val="00193391"/>
    <w:rsid w:val="00195C8A"/>
    <w:rsid w:val="00195F12"/>
    <w:rsid w:val="00196ABE"/>
    <w:rsid w:val="001A2B12"/>
    <w:rsid w:val="001A33D2"/>
    <w:rsid w:val="001A7EDA"/>
    <w:rsid w:val="001B32BD"/>
    <w:rsid w:val="001B48F3"/>
    <w:rsid w:val="001B4B45"/>
    <w:rsid w:val="001C5549"/>
    <w:rsid w:val="001C5D73"/>
    <w:rsid w:val="001C66E3"/>
    <w:rsid w:val="001C724E"/>
    <w:rsid w:val="001D07B0"/>
    <w:rsid w:val="001D1530"/>
    <w:rsid w:val="001D1DBD"/>
    <w:rsid w:val="001E3888"/>
    <w:rsid w:val="001E3CE3"/>
    <w:rsid w:val="001E4F8B"/>
    <w:rsid w:val="001E564C"/>
    <w:rsid w:val="001E567B"/>
    <w:rsid w:val="001E61E9"/>
    <w:rsid w:val="001F0190"/>
    <w:rsid w:val="001F3925"/>
    <w:rsid w:val="001F7599"/>
    <w:rsid w:val="001F7B1C"/>
    <w:rsid w:val="002043E2"/>
    <w:rsid w:val="00206E48"/>
    <w:rsid w:val="00210041"/>
    <w:rsid w:val="002106B7"/>
    <w:rsid w:val="00212E85"/>
    <w:rsid w:val="002144B3"/>
    <w:rsid w:val="002155CC"/>
    <w:rsid w:val="00216758"/>
    <w:rsid w:val="0022485F"/>
    <w:rsid w:val="00227537"/>
    <w:rsid w:val="00230C80"/>
    <w:rsid w:val="002355C4"/>
    <w:rsid w:val="00236F9B"/>
    <w:rsid w:val="00237FC0"/>
    <w:rsid w:val="00240BA9"/>
    <w:rsid w:val="00243B99"/>
    <w:rsid w:val="00247A60"/>
    <w:rsid w:val="00251845"/>
    <w:rsid w:val="00251B9C"/>
    <w:rsid w:val="00253598"/>
    <w:rsid w:val="00257CBD"/>
    <w:rsid w:val="00261512"/>
    <w:rsid w:val="00271DA7"/>
    <w:rsid w:val="00273B2B"/>
    <w:rsid w:val="00274A77"/>
    <w:rsid w:val="0027614E"/>
    <w:rsid w:val="00282A09"/>
    <w:rsid w:val="00287ACA"/>
    <w:rsid w:val="00295382"/>
    <w:rsid w:val="002A0534"/>
    <w:rsid w:val="002A1D33"/>
    <w:rsid w:val="002A76FF"/>
    <w:rsid w:val="002B21AF"/>
    <w:rsid w:val="002B4935"/>
    <w:rsid w:val="002B4C1C"/>
    <w:rsid w:val="002B63D1"/>
    <w:rsid w:val="002B6852"/>
    <w:rsid w:val="002C0D52"/>
    <w:rsid w:val="002C11FD"/>
    <w:rsid w:val="002C4A9E"/>
    <w:rsid w:val="002C661D"/>
    <w:rsid w:val="002D535E"/>
    <w:rsid w:val="002D6AFE"/>
    <w:rsid w:val="002E514D"/>
    <w:rsid w:val="002E6458"/>
    <w:rsid w:val="002F39E9"/>
    <w:rsid w:val="002F4FAE"/>
    <w:rsid w:val="002F6690"/>
    <w:rsid w:val="002F69E1"/>
    <w:rsid w:val="002F6DB2"/>
    <w:rsid w:val="00304CB8"/>
    <w:rsid w:val="0030583A"/>
    <w:rsid w:val="00307CFB"/>
    <w:rsid w:val="00317739"/>
    <w:rsid w:val="00317D58"/>
    <w:rsid w:val="00325FDE"/>
    <w:rsid w:val="003268C6"/>
    <w:rsid w:val="00326B7C"/>
    <w:rsid w:val="00330D4C"/>
    <w:rsid w:val="00333554"/>
    <w:rsid w:val="00337AF8"/>
    <w:rsid w:val="00340A2D"/>
    <w:rsid w:val="003423DE"/>
    <w:rsid w:val="0034246B"/>
    <w:rsid w:val="00342E1D"/>
    <w:rsid w:val="0034426D"/>
    <w:rsid w:val="00344956"/>
    <w:rsid w:val="00345B5D"/>
    <w:rsid w:val="003514AA"/>
    <w:rsid w:val="00352E9E"/>
    <w:rsid w:val="00353948"/>
    <w:rsid w:val="0035473C"/>
    <w:rsid w:val="00363D1B"/>
    <w:rsid w:val="003701F9"/>
    <w:rsid w:val="00373863"/>
    <w:rsid w:val="00373876"/>
    <w:rsid w:val="00376DDB"/>
    <w:rsid w:val="0037707B"/>
    <w:rsid w:val="0038097B"/>
    <w:rsid w:val="0038551E"/>
    <w:rsid w:val="00386FB6"/>
    <w:rsid w:val="00387623"/>
    <w:rsid w:val="00390246"/>
    <w:rsid w:val="0039070C"/>
    <w:rsid w:val="00393095"/>
    <w:rsid w:val="003A2180"/>
    <w:rsid w:val="003A3F6C"/>
    <w:rsid w:val="003A42D0"/>
    <w:rsid w:val="003A6961"/>
    <w:rsid w:val="003A735E"/>
    <w:rsid w:val="003B1B03"/>
    <w:rsid w:val="003B47B1"/>
    <w:rsid w:val="003B4E8D"/>
    <w:rsid w:val="003C0CC9"/>
    <w:rsid w:val="003D0012"/>
    <w:rsid w:val="003D0A0A"/>
    <w:rsid w:val="003D5644"/>
    <w:rsid w:val="003E4045"/>
    <w:rsid w:val="003E5D65"/>
    <w:rsid w:val="003F2EA0"/>
    <w:rsid w:val="003F32D5"/>
    <w:rsid w:val="003F392C"/>
    <w:rsid w:val="003F5061"/>
    <w:rsid w:val="003F54B9"/>
    <w:rsid w:val="003F5F3A"/>
    <w:rsid w:val="003F732B"/>
    <w:rsid w:val="004008FD"/>
    <w:rsid w:val="00400D02"/>
    <w:rsid w:val="004019DB"/>
    <w:rsid w:val="00404E0F"/>
    <w:rsid w:val="00414D63"/>
    <w:rsid w:val="00420D50"/>
    <w:rsid w:val="00425A57"/>
    <w:rsid w:val="00425F9E"/>
    <w:rsid w:val="0043007B"/>
    <w:rsid w:val="00431767"/>
    <w:rsid w:val="004322FD"/>
    <w:rsid w:val="00433B8A"/>
    <w:rsid w:val="004341F9"/>
    <w:rsid w:val="00435C3B"/>
    <w:rsid w:val="0043767B"/>
    <w:rsid w:val="004404BD"/>
    <w:rsid w:val="00441EAD"/>
    <w:rsid w:val="00446545"/>
    <w:rsid w:val="004515C6"/>
    <w:rsid w:val="00452ACE"/>
    <w:rsid w:val="00453E9C"/>
    <w:rsid w:val="00454C36"/>
    <w:rsid w:val="00456D05"/>
    <w:rsid w:val="00462397"/>
    <w:rsid w:val="004637B4"/>
    <w:rsid w:val="004641A2"/>
    <w:rsid w:val="00466987"/>
    <w:rsid w:val="004671C6"/>
    <w:rsid w:val="004700A4"/>
    <w:rsid w:val="00473E6F"/>
    <w:rsid w:val="004740A6"/>
    <w:rsid w:val="00476BF9"/>
    <w:rsid w:val="00477E8D"/>
    <w:rsid w:val="00482428"/>
    <w:rsid w:val="004824AF"/>
    <w:rsid w:val="0048463F"/>
    <w:rsid w:val="00484B2B"/>
    <w:rsid w:val="0049062D"/>
    <w:rsid w:val="00491D74"/>
    <w:rsid w:val="00491E7C"/>
    <w:rsid w:val="00496B56"/>
    <w:rsid w:val="004A4665"/>
    <w:rsid w:val="004A55B4"/>
    <w:rsid w:val="004B71DA"/>
    <w:rsid w:val="004C0460"/>
    <w:rsid w:val="004C59B6"/>
    <w:rsid w:val="004C5F3A"/>
    <w:rsid w:val="004C676A"/>
    <w:rsid w:val="004C6B9D"/>
    <w:rsid w:val="004C7610"/>
    <w:rsid w:val="004D6259"/>
    <w:rsid w:val="004D7C85"/>
    <w:rsid w:val="004E0FDD"/>
    <w:rsid w:val="004E3ED8"/>
    <w:rsid w:val="004E64FC"/>
    <w:rsid w:val="004E656E"/>
    <w:rsid w:val="004E7115"/>
    <w:rsid w:val="004F093D"/>
    <w:rsid w:val="004F4641"/>
    <w:rsid w:val="004F60F6"/>
    <w:rsid w:val="005019CE"/>
    <w:rsid w:val="005043AC"/>
    <w:rsid w:val="00507D97"/>
    <w:rsid w:val="00510387"/>
    <w:rsid w:val="0051197E"/>
    <w:rsid w:val="0052107D"/>
    <w:rsid w:val="00521DB5"/>
    <w:rsid w:val="005256E8"/>
    <w:rsid w:val="0053125C"/>
    <w:rsid w:val="00532544"/>
    <w:rsid w:val="005341B9"/>
    <w:rsid w:val="00534BB2"/>
    <w:rsid w:val="0053724E"/>
    <w:rsid w:val="00540ABD"/>
    <w:rsid w:val="00541F09"/>
    <w:rsid w:val="005429B8"/>
    <w:rsid w:val="00545C7B"/>
    <w:rsid w:val="00547332"/>
    <w:rsid w:val="0054771D"/>
    <w:rsid w:val="00550658"/>
    <w:rsid w:val="0055303A"/>
    <w:rsid w:val="005536C1"/>
    <w:rsid w:val="00563C86"/>
    <w:rsid w:val="00567FF4"/>
    <w:rsid w:val="005702C8"/>
    <w:rsid w:val="005726EE"/>
    <w:rsid w:val="00573F1A"/>
    <w:rsid w:val="0057425F"/>
    <w:rsid w:val="00585B9E"/>
    <w:rsid w:val="00587965"/>
    <w:rsid w:val="00594571"/>
    <w:rsid w:val="005A325F"/>
    <w:rsid w:val="005A44F2"/>
    <w:rsid w:val="005B0768"/>
    <w:rsid w:val="005B38A8"/>
    <w:rsid w:val="005C15DF"/>
    <w:rsid w:val="005C405F"/>
    <w:rsid w:val="005C5F5E"/>
    <w:rsid w:val="005C6CF3"/>
    <w:rsid w:val="005C7680"/>
    <w:rsid w:val="005D3234"/>
    <w:rsid w:val="005D5148"/>
    <w:rsid w:val="005D671F"/>
    <w:rsid w:val="005D6965"/>
    <w:rsid w:val="005E5355"/>
    <w:rsid w:val="005E5C9E"/>
    <w:rsid w:val="005E7322"/>
    <w:rsid w:val="005F6497"/>
    <w:rsid w:val="005F78D4"/>
    <w:rsid w:val="00601199"/>
    <w:rsid w:val="006074A8"/>
    <w:rsid w:val="00611C60"/>
    <w:rsid w:val="00617626"/>
    <w:rsid w:val="006228D2"/>
    <w:rsid w:val="0062305E"/>
    <w:rsid w:val="00624AEE"/>
    <w:rsid w:val="00625995"/>
    <w:rsid w:val="006261BF"/>
    <w:rsid w:val="006275BA"/>
    <w:rsid w:val="0063266A"/>
    <w:rsid w:val="006416C9"/>
    <w:rsid w:val="00642BF5"/>
    <w:rsid w:val="00644FAC"/>
    <w:rsid w:val="006456A8"/>
    <w:rsid w:val="006456BB"/>
    <w:rsid w:val="00651EBA"/>
    <w:rsid w:val="00652E5C"/>
    <w:rsid w:val="00653490"/>
    <w:rsid w:val="00653C0B"/>
    <w:rsid w:val="006558D5"/>
    <w:rsid w:val="006568CA"/>
    <w:rsid w:val="00662E43"/>
    <w:rsid w:val="00663B40"/>
    <w:rsid w:val="00670852"/>
    <w:rsid w:val="00670C45"/>
    <w:rsid w:val="00672861"/>
    <w:rsid w:val="006743BE"/>
    <w:rsid w:val="006750CF"/>
    <w:rsid w:val="006776E4"/>
    <w:rsid w:val="00677B10"/>
    <w:rsid w:val="006855B0"/>
    <w:rsid w:val="0068644F"/>
    <w:rsid w:val="006904FF"/>
    <w:rsid w:val="00692FBE"/>
    <w:rsid w:val="00695C95"/>
    <w:rsid w:val="006962E0"/>
    <w:rsid w:val="006A09F2"/>
    <w:rsid w:val="006A7E0A"/>
    <w:rsid w:val="006B0E1F"/>
    <w:rsid w:val="006B1995"/>
    <w:rsid w:val="006B1B49"/>
    <w:rsid w:val="006B6E79"/>
    <w:rsid w:val="006C02DE"/>
    <w:rsid w:val="006C3FF5"/>
    <w:rsid w:val="006C6CD5"/>
    <w:rsid w:val="006D68EE"/>
    <w:rsid w:val="006E413C"/>
    <w:rsid w:val="006F0920"/>
    <w:rsid w:val="006F142C"/>
    <w:rsid w:val="006F204A"/>
    <w:rsid w:val="006F3BCA"/>
    <w:rsid w:val="006F5CF1"/>
    <w:rsid w:val="0070554B"/>
    <w:rsid w:val="00707932"/>
    <w:rsid w:val="00711087"/>
    <w:rsid w:val="007117FE"/>
    <w:rsid w:val="007118D2"/>
    <w:rsid w:val="00712995"/>
    <w:rsid w:val="00726415"/>
    <w:rsid w:val="00734CEF"/>
    <w:rsid w:val="0074774B"/>
    <w:rsid w:val="00747D75"/>
    <w:rsid w:val="007516F7"/>
    <w:rsid w:val="00751E59"/>
    <w:rsid w:val="007541AF"/>
    <w:rsid w:val="007600D1"/>
    <w:rsid w:val="00767A94"/>
    <w:rsid w:val="00773C69"/>
    <w:rsid w:val="00777128"/>
    <w:rsid w:val="00780AFE"/>
    <w:rsid w:val="00782F52"/>
    <w:rsid w:val="007831C6"/>
    <w:rsid w:val="00787952"/>
    <w:rsid w:val="00791012"/>
    <w:rsid w:val="00792E3A"/>
    <w:rsid w:val="00796A3F"/>
    <w:rsid w:val="007A300C"/>
    <w:rsid w:val="007A5534"/>
    <w:rsid w:val="007A6FB7"/>
    <w:rsid w:val="007B7A8B"/>
    <w:rsid w:val="007C02E1"/>
    <w:rsid w:val="007C1510"/>
    <w:rsid w:val="007C1FBD"/>
    <w:rsid w:val="007C5EFD"/>
    <w:rsid w:val="007C633E"/>
    <w:rsid w:val="007C6AFC"/>
    <w:rsid w:val="007C77BE"/>
    <w:rsid w:val="007D0BFE"/>
    <w:rsid w:val="007D3927"/>
    <w:rsid w:val="007D3ED3"/>
    <w:rsid w:val="007D47D3"/>
    <w:rsid w:val="007D4BAD"/>
    <w:rsid w:val="007D5379"/>
    <w:rsid w:val="007D617C"/>
    <w:rsid w:val="007E60EA"/>
    <w:rsid w:val="007E701C"/>
    <w:rsid w:val="007E7211"/>
    <w:rsid w:val="007F113F"/>
    <w:rsid w:val="007F242F"/>
    <w:rsid w:val="007F3CAB"/>
    <w:rsid w:val="007F3D78"/>
    <w:rsid w:val="007F434A"/>
    <w:rsid w:val="007F4514"/>
    <w:rsid w:val="007F455F"/>
    <w:rsid w:val="00801804"/>
    <w:rsid w:val="00802B34"/>
    <w:rsid w:val="00803371"/>
    <w:rsid w:val="00806465"/>
    <w:rsid w:val="00806E26"/>
    <w:rsid w:val="00806FEF"/>
    <w:rsid w:val="008104D3"/>
    <w:rsid w:val="00810855"/>
    <w:rsid w:val="00811379"/>
    <w:rsid w:val="00814D6D"/>
    <w:rsid w:val="00815061"/>
    <w:rsid w:val="00816136"/>
    <w:rsid w:val="00816218"/>
    <w:rsid w:val="008176DA"/>
    <w:rsid w:val="008217A9"/>
    <w:rsid w:val="00821F86"/>
    <w:rsid w:val="0083369B"/>
    <w:rsid w:val="00834611"/>
    <w:rsid w:val="0083532E"/>
    <w:rsid w:val="008371C6"/>
    <w:rsid w:val="00837EF5"/>
    <w:rsid w:val="008435B7"/>
    <w:rsid w:val="008466CD"/>
    <w:rsid w:val="008501E3"/>
    <w:rsid w:val="0085081F"/>
    <w:rsid w:val="00851A26"/>
    <w:rsid w:val="008523CB"/>
    <w:rsid w:val="00853227"/>
    <w:rsid w:val="0085329E"/>
    <w:rsid w:val="00857738"/>
    <w:rsid w:val="00860A81"/>
    <w:rsid w:val="00862AD6"/>
    <w:rsid w:val="0086585C"/>
    <w:rsid w:val="008704BC"/>
    <w:rsid w:val="00871440"/>
    <w:rsid w:val="00875764"/>
    <w:rsid w:val="00885480"/>
    <w:rsid w:val="00894CDE"/>
    <w:rsid w:val="0089731D"/>
    <w:rsid w:val="008975C8"/>
    <w:rsid w:val="008A2073"/>
    <w:rsid w:val="008C39D8"/>
    <w:rsid w:val="008C3DEB"/>
    <w:rsid w:val="008D2239"/>
    <w:rsid w:val="008D2E14"/>
    <w:rsid w:val="008D3F66"/>
    <w:rsid w:val="008D54C2"/>
    <w:rsid w:val="008D5D1E"/>
    <w:rsid w:val="008E0DC4"/>
    <w:rsid w:val="008E0E78"/>
    <w:rsid w:val="008E303D"/>
    <w:rsid w:val="008E499E"/>
    <w:rsid w:val="008E518F"/>
    <w:rsid w:val="008E5690"/>
    <w:rsid w:val="008F12CD"/>
    <w:rsid w:val="008F431F"/>
    <w:rsid w:val="008F719B"/>
    <w:rsid w:val="008F7F5D"/>
    <w:rsid w:val="00900B38"/>
    <w:rsid w:val="00905A45"/>
    <w:rsid w:val="00906F77"/>
    <w:rsid w:val="0091158C"/>
    <w:rsid w:val="0091274D"/>
    <w:rsid w:val="00914068"/>
    <w:rsid w:val="0091461F"/>
    <w:rsid w:val="00914C81"/>
    <w:rsid w:val="00916D4D"/>
    <w:rsid w:val="00921441"/>
    <w:rsid w:val="00922580"/>
    <w:rsid w:val="0092297C"/>
    <w:rsid w:val="00922BDE"/>
    <w:rsid w:val="0092529B"/>
    <w:rsid w:val="009261A7"/>
    <w:rsid w:val="009345D3"/>
    <w:rsid w:val="00935B8C"/>
    <w:rsid w:val="00940FD8"/>
    <w:rsid w:val="00941541"/>
    <w:rsid w:val="0094157F"/>
    <w:rsid w:val="009417C0"/>
    <w:rsid w:val="009433E6"/>
    <w:rsid w:val="00944046"/>
    <w:rsid w:val="009448B7"/>
    <w:rsid w:val="00946237"/>
    <w:rsid w:val="009468CD"/>
    <w:rsid w:val="00951384"/>
    <w:rsid w:val="00952453"/>
    <w:rsid w:val="00953454"/>
    <w:rsid w:val="00953EB6"/>
    <w:rsid w:val="00955C7A"/>
    <w:rsid w:val="00956C9F"/>
    <w:rsid w:val="00957759"/>
    <w:rsid w:val="00962241"/>
    <w:rsid w:val="00962BE5"/>
    <w:rsid w:val="00965F52"/>
    <w:rsid w:val="00971BB9"/>
    <w:rsid w:val="00972422"/>
    <w:rsid w:val="00972694"/>
    <w:rsid w:val="00973F70"/>
    <w:rsid w:val="00977BD1"/>
    <w:rsid w:val="00980A85"/>
    <w:rsid w:val="00982141"/>
    <w:rsid w:val="00985237"/>
    <w:rsid w:val="00987B77"/>
    <w:rsid w:val="00996F42"/>
    <w:rsid w:val="00997028"/>
    <w:rsid w:val="009A19CE"/>
    <w:rsid w:val="009A4835"/>
    <w:rsid w:val="009A7FBA"/>
    <w:rsid w:val="009B62DE"/>
    <w:rsid w:val="009B7260"/>
    <w:rsid w:val="009B7CF7"/>
    <w:rsid w:val="009C54A5"/>
    <w:rsid w:val="009C620A"/>
    <w:rsid w:val="009D0B33"/>
    <w:rsid w:val="009E4909"/>
    <w:rsid w:val="009E7495"/>
    <w:rsid w:val="009F7EF3"/>
    <w:rsid w:val="00A034C5"/>
    <w:rsid w:val="00A20A95"/>
    <w:rsid w:val="00A25C65"/>
    <w:rsid w:val="00A3066C"/>
    <w:rsid w:val="00A30A6C"/>
    <w:rsid w:val="00A35B7F"/>
    <w:rsid w:val="00A36B82"/>
    <w:rsid w:val="00A3716F"/>
    <w:rsid w:val="00A401B5"/>
    <w:rsid w:val="00A42697"/>
    <w:rsid w:val="00A44FB5"/>
    <w:rsid w:val="00A45F82"/>
    <w:rsid w:val="00A608BF"/>
    <w:rsid w:val="00A64C07"/>
    <w:rsid w:val="00A65480"/>
    <w:rsid w:val="00A73A0C"/>
    <w:rsid w:val="00A7431E"/>
    <w:rsid w:val="00A84690"/>
    <w:rsid w:val="00A84832"/>
    <w:rsid w:val="00A8568B"/>
    <w:rsid w:val="00A87675"/>
    <w:rsid w:val="00A87FFB"/>
    <w:rsid w:val="00A958B7"/>
    <w:rsid w:val="00AA0935"/>
    <w:rsid w:val="00AA2F78"/>
    <w:rsid w:val="00AA6857"/>
    <w:rsid w:val="00AB115A"/>
    <w:rsid w:val="00AC398D"/>
    <w:rsid w:val="00AC3C7E"/>
    <w:rsid w:val="00AC6D57"/>
    <w:rsid w:val="00AC7958"/>
    <w:rsid w:val="00AD01D2"/>
    <w:rsid w:val="00AD6A6D"/>
    <w:rsid w:val="00AD77BC"/>
    <w:rsid w:val="00AE0724"/>
    <w:rsid w:val="00AE1AE5"/>
    <w:rsid w:val="00AE216B"/>
    <w:rsid w:val="00AE5556"/>
    <w:rsid w:val="00AF3369"/>
    <w:rsid w:val="00AF5883"/>
    <w:rsid w:val="00AF6CB6"/>
    <w:rsid w:val="00AF7D7C"/>
    <w:rsid w:val="00B01983"/>
    <w:rsid w:val="00B0596A"/>
    <w:rsid w:val="00B13447"/>
    <w:rsid w:val="00B141BC"/>
    <w:rsid w:val="00B14CF8"/>
    <w:rsid w:val="00B1633F"/>
    <w:rsid w:val="00B21BB9"/>
    <w:rsid w:val="00B22558"/>
    <w:rsid w:val="00B22D33"/>
    <w:rsid w:val="00B2487B"/>
    <w:rsid w:val="00B2577A"/>
    <w:rsid w:val="00B32DF6"/>
    <w:rsid w:val="00B33365"/>
    <w:rsid w:val="00B37FCC"/>
    <w:rsid w:val="00B42401"/>
    <w:rsid w:val="00B44ECD"/>
    <w:rsid w:val="00B46A17"/>
    <w:rsid w:val="00B50577"/>
    <w:rsid w:val="00B51809"/>
    <w:rsid w:val="00B532B9"/>
    <w:rsid w:val="00B53B3C"/>
    <w:rsid w:val="00B62284"/>
    <w:rsid w:val="00B63233"/>
    <w:rsid w:val="00B64DEF"/>
    <w:rsid w:val="00B7165A"/>
    <w:rsid w:val="00B75852"/>
    <w:rsid w:val="00B75CD3"/>
    <w:rsid w:val="00B821A6"/>
    <w:rsid w:val="00B827B6"/>
    <w:rsid w:val="00B8656B"/>
    <w:rsid w:val="00B952DE"/>
    <w:rsid w:val="00BA1C92"/>
    <w:rsid w:val="00BA259A"/>
    <w:rsid w:val="00BA5DF6"/>
    <w:rsid w:val="00BA6020"/>
    <w:rsid w:val="00BB7D0B"/>
    <w:rsid w:val="00BC20CC"/>
    <w:rsid w:val="00BD2BCF"/>
    <w:rsid w:val="00BD79D1"/>
    <w:rsid w:val="00BE1476"/>
    <w:rsid w:val="00BE23CC"/>
    <w:rsid w:val="00BE524B"/>
    <w:rsid w:val="00BE52F2"/>
    <w:rsid w:val="00BE6F7F"/>
    <w:rsid w:val="00C02E3A"/>
    <w:rsid w:val="00C055D9"/>
    <w:rsid w:val="00C06FBD"/>
    <w:rsid w:val="00C07C1F"/>
    <w:rsid w:val="00C12FDF"/>
    <w:rsid w:val="00C134F3"/>
    <w:rsid w:val="00C23E6A"/>
    <w:rsid w:val="00C24789"/>
    <w:rsid w:val="00C25A78"/>
    <w:rsid w:val="00C301AF"/>
    <w:rsid w:val="00C34408"/>
    <w:rsid w:val="00C345D1"/>
    <w:rsid w:val="00C36FDA"/>
    <w:rsid w:val="00C468C6"/>
    <w:rsid w:val="00C558A6"/>
    <w:rsid w:val="00C638FE"/>
    <w:rsid w:val="00C63CD2"/>
    <w:rsid w:val="00C64CD8"/>
    <w:rsid w:val="00C6697D"/>
    <w:rsid w:val="00C70C74"/>
    <w:rsid w:val="00C74BCA"/>
    <w:rsid w:val="00C813D9"/>
    <w:rsid w:val="00C92A70"/>
    <w:rsid w:val="00C93040"/>
    <w:rsid w:val="00C93CD7"/>
    <w:rsid w:val="00CB0EAB"/>
    <w:rsid w:val="00CB1ABD"/>
    <w:rsid w:val="00CB41B5"/>
    <w:rsid w:val="00CB6587"/>
    <w:rsid w:val="00CC09CA"/>
    <w:rsid w:val="00CC63DB"/>
    <w:rsid w:val="00CD3B6D"/>
    <w:rsid w:val="00CD49F9"/>
    <w:rsid w:val="00CE0CD5"/>
    <w:rsid w:val="00CE1651"/>
    <w:rsid w:val="00CE3BA9"/>
    <w:rsid w:val="00CE5464"/>
    <w:rsid w:val="00CE650E"/>
    <w:rsid w:val="00CF2FBA"/>
    <w:rsid w:val="00CF40AF"/>
    <w:rsid w:val="00CF6557"/>
    <w:rsid w:val="00CF7756"/>
    <w:rsid w:val="00D013B5"/>
    <w:rsid w:val="00D02A7A"/>
    <w:rsid w:val="00D03986"/>
    <w:rsid w:val="00D076B2"/>
    <w:rsid w:val="00D10B49"/>
    <w:rsid w:val="00D12945"/>
    <w:rsid w:val="00D160B3"/>
    <w:rsid w:val="00D170E2"/>
    <w:rsid w:val="00D216BE"/>
    <w:rsid w:val="00D23B24"/>
    <w:rsid w:val="00D24EC2"/>
    <w:rsid w:val="00D25EE1"/>
    <w:rsid w:val="00D303D4"/>
    <w:rsid w:val="00D427C9"/>
    <w:rsid w:val="00D42B72"/>
    <w:rsid w:val="00D4322E"/>
    <w:rsid w:val="00D44F39"/>
    <w:rsid w:val="00D46DC8"/>
    <w:rsid w:val="00D501F1"/>
    <w:rsid w:val="00D56066"/>
    <w:rsid w:val="00D57C46"/>
    <w:rsid w:val="00D6117B"/>
    <w:rsid w:val="00D6394A"/>
    <w:rsid w:val="00D64706"/>
    <w:rsid w:val="00D65DE9"/>
    <w:rsid w:val="00D709F7"/>
    <w:rsid w:val="00D7151C"/>
    <w:rsid w:val="00D71899"/>
    <w:rsid w:val="00D71966"/>
    <w:rsid w:val="00D73B6A"/>
    <w:rsid w:val="00D75851"/>
    <w:rsid w:val="00D75DFD"/>
    <w:rsid w:val="00D83AF7"/>
    <w:rsid w:val="00D8659A"/>
    <w:rsid w:val="00D873A0"/>
    <w:rsid w:val="00D912EC"/>
    <w:rsid w:val="00D917C0"/>
    <w:rsid w:val="00D93056"/>
    <w:rsid w:val="00D9360C"/>
    <w:rsid w:val="00D93619"/>
    <w:rsid w:val="00D95AFC"/>
    <w:rsid w:val="00D96138"/>
    <w:rsid w:val="00D97F3C"/>
    <w:rsid w:val="00DA0E92"/>
    <w:rsid w:val="00DA7A98"/>
    <w:rsid w:val="00DB3E70"/>
    <w:rsid w:val="00DB5F42"/>
    <w:rsid w:val="00DB73CB"/>
    <w:rsid w:val="00DB7FB7"/>
    <w:rsid w:val="00DC027D"/>
    <w:rsid w:val="00DC4B89"/>
    <w:rsid w:val="00DD6854"/>
    <w:rsid w:val="00DE1A16"/>
    <w:rsid w:val="00DE256C"/>
    <w:rsid w:val="00DE47A0"/>
    <w:rsid w:val="00DE4814"/>
    <w:rsid w:val="00DE4E8E"/>
    <w:rsid w:val="00DF4BFB"/>
    <w:rsid w:val="00DF548A"/>
    <w:rsid w:val="00E039CA"/>
    <w:rsid w:val="00E03A2A"/>
    <w:rsid w:val="00E046B8"/>
    <w:rsid w:val="00E07878"/>
    <w:rsid w:val="00E153BD"/>
    <w:rsid w:val="00E155DD"/>
    <w:rsid w:val="00E313C4"/>
    <w:rsid w:val="00E37DD6"/>
    <w:rsid w:val="00E448B6"/>
    <w:rsid w:val="00E46C6E"/>
    <w:rsid w:val="00E47ED5"/>
    <w:rsid w:val="00E51F04"/>
    <w:rsid w:val="00E53F1B"/>
    <w:rsid w:val="00E55B03"/>
    <w:rsid w:val="00E55C42"/>
    <w:rsid w:val="00E62D20"/>
    <w:rsid w:val="00E63BA7"/>
    <w:rsid w:val="00E728E9"/>
    <w:rsid w:val="00E7604B"/>
    <w:rsid w:val="00E8154D"/>
    <w:rsid w:val="00E876CC"/>
    <w:rsid w:val="00E93B11"/>
    <w:rsid w:val="00E957EC"/>
    <w:rsid w:val="00E959F3"/>
    <w:rsid w:val="00E95F48"/>
    <w:rsid w:val="00E96736"/>
    <w:rsid w:val="00E97E91"/>
    <w:rsid w:val="00EA227E"/>
    <w:rsid w:val="00EB45C2"/>
    <w:rsid w:val="00EC2992"/>
    <w:rsid w:val="00EC4A24"/>
    <w:rsid w:val="00EC76B2"/>
    <w:rsid w:val="00ED126A"/>
    <w:rsid w:val="00ED1AEB"/>
    <w:rsid w:val="00ED36CB"/>
    <w:rsid w:val="00ED46ED"/>
    <w:rsid w:val="00ED5732"/>
    <w:rsid w:val="00ED5B19"/>
    <w:rsid w:val="00EE0337"/>
    <w:rsid w:val="00EE0CE7"/>
    <w:rsid w:val="00EE3601"/>
    <w:rsid w:val="00EE6261"/>
    <w:rsid w:val="00EF5773"/>
    <w:rsid w:val="00EF5DB5"/>
    <w:rsid w:val="00F00BB0"/>
    <w:rsid w:val="00F0315C"/>
    <w:rsid w:val="00F0603D"/>
    <w:rsid w:val="00F07D2B"/>
    <w:rsid w:val="00F16CC9"/>
    <w:rsid w:val="00F1797D"/>
    <w:rsid w:val="00F240ED"/>
    <w:rsid w:val="00F2489E"/>
    <w:rsid w:val="00F268DB"/>
    <w:rsid w:val="00F3097B"/>
    <w:rsid w:val="00F30B7C"/>
    <w:rsid w:val="00F321BF"/>
    <w:rsid w:val="00F32311"/>
    <w:rsid w:val="00F33766"/>
    <w:rsid w:val="00F406DC"/>
    <w:rsid w:val="00F4160B"/>
    <w:rsid w:val="00F41CF3"/>
    <w:rsid w:val="00F42D52"/>
    <w:rsid w:val="00F51C40"/>
    <w:rsid w:val="00F54D89"/>
    <w:rsid w:val="00F565C0"/>
    <w:rsid w:val="00F679C0"/>
    <w:rsid w:val="00F67E54"/>
    <w:rsid w:val="00F67F14"/>
    <w:rsid w:val="00F7422A"/>
    <w:rsid w:val="00F745D5"/>
    <w:rsid w:val="00F758FB"/>
    <w:rsid w:val="00F815A1"/>
    <w:rsid w:val="00F818C9"/>
    <w:rsid w:val="00F83E42"/>
    <w:rsid w:val="00F86AA2"/>
    <w:rsid w:val="00F87AB3"/>
    <w:rsid w:val="00F928CC"/>
    <w:rsid w:val="00FA12A1"/>
    <w:rsid w:val="00FA5033"/>
    <w:rsid w:val="00FA55D6"/>
    <w:rsid w:val="00FA5DAA"/>
    <w:rsid w:val="00FA69FA"/>
    <w:rsid w:val="00FB1AB5"/>
    <w:rsid w:val="00FB2729"/>
    <w:rsid w:val="00FB3032"/>
    <w:rsid w:val="00FC1493"/>
    <w:rsid w:val="00FC2740"/>
    <w:rsid w:val="00FC29D7"/>
    <w:rsid w:val="00FD2BB4"/>
    <w:rsid w:val="00FD61C7"/>
    <w:rsid w:val="00FD6243"/>
    <w:rsid w:val="00FD72F1"/>
    <w:rsid w:val="00FE1D95"/>
    <w:rsid w:val="00FE289E"/>
    <w:rsid w:val="00FE3BF3"/>
    <w:rsid w:val="00FF4343"/>
    <w:rsid w:val="00FF4DA2"/>
    <w:rsid w:val="00FF68C4"/>
    <w:rsid w:val="00FF712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5:chartTrackingRefBased/>
  <w15:docId w15:val="{E7550815-F49A-4BE7-901B-0A6DE2DD1F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pPr>
      <w:widowControl w:val="0"/>
      <w:jc w:val="both"/>
    </w:pPr>
    <w:rPr>
      <w:rFonts w:ascii="Times New Roman" w:hAnsi="Times New Roman"/>
      <w:kern w:val="2"/>
      <w:sz w:val="1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pPr>
      <w:tabs>
        <w:tab w:val="center" w:pos="4252"/>
        <w:tab w:val="right" w:pos="8504"/>
      </w:tabs>
      <w:snapToGrid w:val="0"/>
    </w:pPr>
  </w:style>
  <w:style w:type="paragraph" w:styleId="a4">
    <w:name w:val="footer"/>
    <w:basedOn w:val="a"/>
    <w:pPr>
      <w:tabs>
        <w:tab w:val="center" w:pos="4252"/>
        <w:tab w:val="right" w:pos="8504"/>
      </w:tabs>
      <w:snapToGrid w:val="0"/>
    </w:pPr>
  </w:style>
  <w:style w:type="paragraph" w:styleId="a5">
    <w:name w:val="Body Text"/>
    <w:basedOn w:val="a"/>
    <w:pPr>
      <w:jc w:val="center"/>
    </w:pPr>
  </w:style>
  <w:style w:type="paragraph" w:styleId="a6">
    <w:name w:val="Date"/>
    <w:basedOn w:val="a"/>
    <w:next w:val="a"/>
    <w:rsid w:val="00821F86"/>
    <w:rPr>
      <w:sz w:val="20"/>
      <w:szCs w:val="24"/>
    </w:rPr>
  </w:style>
  <w:style w:type="paragraph" w:styleId="2">
    <w:name w:val="Body Text 2"/>
    <w:basedOn w:val="a"/>
    <w:rsid w:val="00003E1B"/>
    <w:pPr>
      <w:spacing w:line="480" w:lineRule="auto"/>
    </w:pPr>
  </w:style>
  <w:style w:type="paragraph" w:styleId="a7">
    <w:name w:val="Body Text First Indent"/>
    <w:basedOn w:val="a5"/>
    <w:rsid w:val="0043767B"/>
    <w:pPr>
      <w:adjustRightInd w:val="0"/>
      <w:spacing w:line="280" w:lineRule="atLeast"/>
      <w:ind w:firstLineChars="100" w:firstLine="210"/>
      <w:jc w:val="both"/>
      <w:textAlignment w:val="baseline"/>
    </w:pPr>
    <w:rPr>
      <w:sz w:val="19"/>
    </w:rPr>
  </w:style>
  <w:style w:type="paragraph" w:styleId="a8">
    <w:name w:val="Balloon Text"/>
    <w:basedOn w:val="a"/>
    <w:link w:val="a9"/>
    <w:rsid w:val="0083369B"/>
    <w:rPr>
      <w:rFonts w:ascii="Arial" w:eastAsia="ＭＳ ゴシック" w:hAnsi="Arial"/>
      <w:szCs w:val="18"/>
    </w:rPr>
  </w:style>
  <w:style w:type="character" w:customStyle="1" w:styleId="a9">
    <w:name w:val="吹き出し (文字)"/>
    <w:link w:val="a8"/>
    <w:rsid w:val="0083369B"/>
    <w:rPr>
      <w:rFonts w:ascii="Arial" w:eastAsia="ＭＳ ゴシック" w:hAnsi="Arial" w:cs="Times New Roman"/>
      <w:kern w:val="2"/>
      <w:sz w:val="18"/>
      <w:szCs w:val="18"/>
    </w:rPr>
  </w:style>
  <w:style w:type="table" w:styleId="aa">
    <w:name w:val="Table Grid"/>
    <w:basedOn w:val="a1"/>
    <w:uiPriority w:val="59"/>
    <w:rsid w:val="004740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12260F"/>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b">
    <w:name w:val="List Paragraph"/>
    <w:basedOn w:val="a"/>
    <w:uiPriority w:val="34"/>
    <w:qFormat/>
    <w:rsid w:val="00C638FE"/>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70888">
      <w:bodyDiv w:val="1"/>
      <w:marLeft w:val="0"/>
      <w:marRight w:val="0"/>
      <w:marTop w:val="0"/>
      <w:marBottom w:val="0"/>
      <w:divBdr>
        <w:top w:val="none" w:sz="0" w:space="0" w:color="auto"/>
        <w:left w:val="none" w:sz="0" w:space="0" w:color="auto"/>
        <w:bottom w:val="none" w:sz="0" w:space="0" w:color="auto"/>
        <w:right w:val="none" w:sz="0" w:space="0" w:color="auto"/>
      </w:divBdr>
      <w:divsChild>
        <w:div w:id="1423524939">
          <w:marLeft w:val="0"/>
          <w:marRight w:val="0"/>
          <w:marTop w:val="0"/>
          <w:marBottom w:val="0"/>
          <w:divBdr>
            <w:top w:val="none" w:sz="0" w:space="0" w:color="auto"/>
            <w:left w:val="none" w:sz="0" w:space="0" w:color="auto"/>
            <w:bottom w:val="none" w:sz="0" w:space="0" w:color="auto"/>
            <w:right w:val="none" w:sz="0" w:space="0" w:color="auto"/>
          </w:divBdr>
        </w:div>
      </w:divsChild>
    </w:div>
    <w:div w:id="31199394">
      <w:bodyDiv w:val="1"/>
      <w:marLeft w:val="0"/>
      <w:marRight w:val="0"/>
      <w:marTop w:val="0"/>
      <w:marBottom w:val="0"/>
      <w:divBdr>
        <w:top w:val="none" w:sz="0" w:space="0" w:color="auto"/>
        <w:left w:val="none" w:sz="0" w:space="0" w:color="auto"/>
        <w:bottom w:val="none" w:sz="0" w:space="0" w:color="auto"/>
        <w:right w:val="none" w:sz="0" w:space="0" w:color="auto"/>
      </w:divBdr>
      <w:divsChild>
        <w:div w:id="247275302">
          <w:marLeft w:val="0"/>
          <w:marRight w:val="0"/>
          <w:marTop w:val="0"/>
          <w:marBottom w:val="0"/>
          <w:divBdr>
            <w:top w:val="none" w:sz="0" w:space="0" w:color="auto"/>
            <w:left w:val="none" w:sz="0" w:space="0" w:color="auto"/>
            <w:bottom w:val="none" w:sz="0" w:space="0" w:color="auto"/>
            <w:right w:val="none" w:sz="0" w:space="0" w:color="auto"/>
          </w:divBdr>
        </w:div>
      </w:divsChild>
    </w:div>
    <w:div w:id="141050083">
      <w:bodyDiv w:val="1"/>
      <w:marLeft w:val="0"/>
      <w:marRight w:val="0"/>
      <w:marTop w:val="0"/>
      <w:marBottom w:val="0"/>
      <w:divBdr>
        <w:top w:val="none" w:sz="0" w:space="0" w:color="auto"/>
        <w:left w:val="none" w:sz="0" w:space="0" w:color="auto"/>
        <w:bottom w:val="none" w:sz="0" w:space="0" w:color="auto"/>
        <w:right w:val="none" w:sz="0" w:space="0" w:color="auto"/>
      </w:divBdr>
      <w:divsChild>
        <w:div w:id="1111977845">
          <w:marLeft w:val="562"/>
          <w:marRight w:val="0"/>
          <w:marTop w:val="0"/>
          <w:marBottom w:val="0"/>
          <w:divBdr>
            <w:top w:val="none" w:sz="0" w:space="0" w:color="auto"/>
            <w:left w:val="none" w:sz="0" w:space="0" w:color="auto"/>
            <w:bottom w:val="none" w:sz="0" w:space="0" w:color="auto"/>
            <w:right w:val="none" w:sz="0" w:space="0" w:color="auto"/>
          </w:divBdr>
        </w:div>
      </w:divsChild>
    </w:div>
    <w:div w:id="170145038">
      <w:bodyDiv w:val="1"/>
      <w:marLeft w:val="0"/>
      <w:marRight w:val="0"/>
      <w:marTop w:val="0"/>
      <w:marBottom w:val="0"/>
      <w:divBdr>
        <w:top w:val="none" w:sz="0" w:space="0" w:color="auto"/>
        <w:left w:val="none" w:sz="0" w:space="0" w:color="auto"/>
        <w:bottom w:val="none" w:sz="0" w:space="0" w:color="auto"/>
        <w:right w:val="none" w:sz="0" w:space="0" w:color="auto"/>
      </w:divBdr>
      <w:divsChild>
        <w:div w:id="136076345">
          <w:marLeft w:val="0"/>
          <w:marRight w:val="0"/>
          <w:marTop w:val="0"/>
          <w:marBottom w:val="0"/>
          <w:divBdr>
            <w:top w:val="none" w:sz="0" w:space="0" w:color="auto"/>
            <w:left w:val="none" w:sz="0" w:space="0" w:color="auto"/>
            <w:bottom w:val="none" w:sz="0" w:space="0" w:color="auto"/>
            <w:right w:val="none" w:sz="0" w:space="0" w:color="auto"/>
          </w:divBdr>
        </w:div>
      </w:divsChild>
    </w:div>
    <w:div w:id="497816375">
      <w:bodyDiv w:val="1"/>
      <w:marLeft w:val="0"/>
      <w:marRight w:val="0"/>
      <w:marTop w:val="0"/>
      <w:marBottom w:val="0"/>
      <w:divBdr>
        <w:top w:val="none" w:sz="0" w:space="0" w:color="auto"/>
        <w:left w:val="none" w:sz="0" w:space="0" w:color="auto"/>
        <w:bottom w:val="none" w:sz="0" w:space="0" w:color="auto"/>
        <w:right w:val="none" w:sz="0" w:space="0" w:color="auto"/>
      </w:divBdr>
      <w:divsChild>
        <w:div w:id="1379550664">
          <w:marLeft w:val="0"/>
          <w:marRight w:val="0"/>
          <w:marTop w:val="0"/>
          <w:marBottom w:val="0"/>
          <w:divBdr>
            <w:top w:val="none" w:sz="0" w:space="0" w:color="auto"/>
            <w:left w:val="none" w:sz="0" w:space="0" w:color="auto"/>
            <w:bottom w:val="none" w:sz="0" w:space="0" w:color="auto"/>
            <w:right w:val="none" w:sz="0" w:space="0" w:color="auto"/>
          </w:divBdr>
        </w:div>
      </w:divsChild>
    </w:div>
    <w:div w:id="635795310">
      <w:bodyDiv w:val="1"/>
      <w:marLeft w:val="0"/>
      <w:marRight w:val="0"/>
      <w:marTop w:val="0"/>
      <w:marBottom w:val="0"/>
      <w:divBdr>
        <w:top w:val="none" w:sz="0" w:space="0" w:color="auto"/>
        <w:left w:val="none" w:sz="0" w:space="0" w:color="auto"/>
        <w:bottom w:val="none" w:sz="0" w:space="0" w:color="auto"/>
        <w:right w:val="none" w:sz="0" w:space="0" w:color="auto"/>
      </w:divBdr>
      <w:divsChild>
        <w:div w:id="1387803429">
          <w:marLeft w:val="0"/>
          <w:marRight w:val="0"/>
          <w:marTop w:val="0"/>
          <w:marBottom w:val="0"/>
          <w:divBdr>
            <w:top w:val="none" w:sz="0" w:space="0" w:color="auto"/>
            <w:left w:val="none" w:sz="0" w:space="0" w:color="auto"/>
            <w:bottom w:val="none" w:sz="0" w:space="0" w:color="auto"/>
            <w:right w:val="none" w:sz="0" w:space="0" w:color="auto"/>
          </w:divBdr>
        </w:div>
      </w:divsChild>
    </w:div>
    <w:div w:id="725877083">
      <w:bodyDiv w:val="1"/>
      <w:marLeft w:val="0"/>
      <w:marRight w:val="0"/>
      <w:marTop w:val="0"/>
      <w:marBottom w:val="0"/>
      <w:divBdr>
        <w:top w:val="none" w:sz="0" w:space="0" w:color="auto"/>
        <w:left w:val="none" w:sz="0" w:space="0" w:color="auto"/>
        <w:bottom w:val="none" w:sz="0" w:space="0" w:color="auto"/>
        <w:right w:val="none" w:sz="0" w:space="0" w:color="auto"/>
      </w:divBdr>
      <w:divsChild>
        <w:div w:id="1534615963">
          <w:marLeft w:val="0"/>
          <w:marRight w:val="0"/>
          <w:marTop w:val="0"/>
          <w:marBottom w:val="0"/>
          <w:divBdr>
            <w:top w:val="none" w:sz="0" w:space="0" w:color="auto"/>
            <w:left w:val="none" w:sz="0" w:space="0" w:color="auto"/>
            <w:bottom w:val="none" w:sz="0" w:space="0" w:color="auto"/>
            <w:right w:val="none" w:sz="0" w:space="0" w:color="auto"/>
          </w:divBdr>
        </w:div>
      </w:divsChild>
    </w:div>
    <w:div w:id="916548750">
      <w:bodyDiv w:val="1"/>
      <w:marLeft w:val="0"/>
      <w:marRight w:val="0"/>
      <w:marTop w:val="0"/>
      <w:marBottom w:val="0"/>
      <w:divBdr>
        <w:top w:val="none" w:sz="0" w:space="0" w:color="auto"/>
        <w:left w:val="none" w:sz="0" w:space="0" w:color="auto"/>
        <w:bottom w:val="none" w:sz="0" w:space="0" w:color="auto"/>
        <w:right w:val="none" w:sz="0" w:space="0" w:color="auto"/>
      </w:divBdr>
      <w:divsChild>
        <w:div w:id="2063864861">
          <w:marLeft w:val="0"/>
          <w:marRight w:val="0"/>
          <w:marTop w:val="0"/>
          <w:marBottom w:val="0"/>
          <w:divBdr>
            <w:top w:val="none" w:sz="0" w:space="0" w:color="auto"/>
            <w:left w:val="none" w:sz="0" w:space="0" w:color="auto"/>
            <w:bottom w:val="none" w:sz="0" w:space="0" w:color="auto"/>
            <w:right w:val="none" w:sz="0" w:space="0" w:color="auto"/>
          </w:divBdr>
        </w:div>
      </w:divsChild>
    </w:div>
    <w:div w:id="1273585016">
      <w:bodyDiv w:val="1"/>
      <w:marLeft w:val="0"/>
      <w:marRight w:val="0"/>
      <w:marTop w:val="0"/>
      <w:marBottom w:val="0"/>
      <w:divBdr>
        <w:top w:val="none" w:sz="0" w:space="0" w:color="auto"/>
        <w:left w:val="none" w:sz="0" w:space="0" w:color="auto"/>
        <w:bottom w:val="none" w:sz="0" w:space="0" w:color="auto"/>
        <w:right w:val="none" w:sz="0" w:space="0" w:color="auto"/>
      </w:divBdr>
      <w:divsChild>
        <w:div w:id="157772392">
          <w:marLeft w:val="0"/>
          <w:marRight w:val="0"/>
          <w:marTop w:val="0"/>
          <w:marBottom w:val="0"/>
          <w:divBdr>
            <w:top w:val="none" w:sz="0" w:space="0" w:color="auto"/>
            <w:left w:val="none" w:sz="0" w:space="0" w:color="auto"/>
            <w:bottom w:val="none" w:sz="0" w:space="0" w:color="auto"/>
            <w:right w:val="none" w:sz="0" w:space="0" w:color="auto"/>
          </w:divBdr>
        </w:div>
      </w:divsChild>
    </w:div>
    <w:div w:id="1406411544">
      <w:bodyDiv w:val="1"/>
      <w:marLeft w:val="0"/>
      <w:marRight w:val="0"/>
      <w:marTop w:val="0"/>
      <w:marBottom w:val="0"/>
      <w:divBdr>
        <w:top w:val="none" w:sz="0" w:space="0" w:color="auto"/>
        <w:left w:val="none" w:sz="0" w:space="0" w:color="auto"/>
        <w:bottom w:val="none" w:sz="0" w:space="0" w:color="auto"/>
        <w:right w:val="none" w:sz="0" w:space="0" w:color="auto"/>
      </w:divBdr>
      <w:divsChild>
        <w:div w:id="1815297924">
          <w:marLeft w:val="446"/>
          <w:marRight w:val="0"/>
          <w:marTop w:val="0"/>
          <w:marBottom w:val="0"/>
          <w:divBdr>
            <w:top w:val="none" w:sz="0" w:space="0" w:color="auto"/>
            <w:left w:val="none" w:sz="0" w:space="0" w:color="auto"/>
            <w:bottom w:val="none" w:sz="0" w:space="0" w:color="auto"/>
            <w:right w:val="none" w:sz="0" w:space="0" w:color="auto"/>
          </w:divBdr>
        </w:div>
      </w:divsChild>
    </w:div>
    <w:div w:id="1453328124">
      <w:bodyDiv w:val="1"/>
      <w:marLeft w:val="0"/>
      <w:marRight w:val="0"/>
      <w:marTop w:val="0"/>
      <w:marBottom w:val="0"/>
      <w:divBdr>
        <w:top w:val="none" w:sz="0" w:space="0" w:color="auto"/>
        <w:left w:val="none" w:sz="0" w:space="0" w:color="auto"/>
        <w:bottom w:val="none" w:sz="0" w:space="0" w:color="auto"/>
        <w:right w:val="none" w:sz="0" w:space="0" w:color="auto"/>
      </w:divBdr>
      <w:divsChild>
        <w:div w:id="2085294753">
          <w:marLeft w:val="446"/>
          <w:marRight w:val="0"/>
          <w:marTop w:val="0"/>
          <w:marBottom w:val="0"/>
          <w:divBdr>
            <w:top w:val="none" w:sz="0" w:space="0" w:color="auto"/>
            <w:left w:val="none" w:sz="0" w:space="0" w:color="auto"/>
            <w:bottom w:val="none" w:sz="0" w:space="0" w:color="auto"/>
            <w:right w:val="none" w:sz="0" w:space="0" w:color="auto"/>
          </w:divBdr>
        </w:div>
        <w:div w:id="1250234575">
          <w:marLeft w:val="446"/>
          <w:marRight w:val="0"/>
          <w:marTop w:val="0"/>
          <w:marBottom w:val="0"/>
          <w:divBdr>
            <w:top w:val="none" w:sz="0" w:space="0" w:color="auto"/>
            <w:left w:val="none" w:sz="0" w:space="0" w:color="auto"/>
            <w:bottom w:val="none" w:sz="0" w:space="0" w:color="auto"/>
            <w:right w:val="none" w:sz="0" w:space="0" w:color="auto"/>
          </w:divBdr>
        </w:div>
      </w:divsChild>
    </w:div>
    <w:div w:id="1477449661">
      <w:bodyDiv w:val="1"/>
      <w:marLeft w:val="0"/>
      <w:marRight w:val="0"/>
      <w:marTop w:val="0"/>
      <w:marBottom w:val="0"/>
      <w:divBdr>
        <w:top w:val="none" w:sz="0" w:space="0" w:color="auto"/>
        <w:left w:val="none" w:sz="0" w:space="0" w:color="auto"/>
        <w:bottom w:val="none" w:sz="0" w:space="0" w:color="auto"/>
        <w:right w:val="none" w:sz="0" w:space="0" w:color="auto"/>
      </w:divBdr>
    </w:div>
    <w:div w:id="1592816606">
      <w:bodyDiv w:val="1"/>
      <w:marLeft w:val="0"/>
      <w:marRight w:val="0"/>
      <w:marTop w:val="0"/>
      <w:marBottom w:val="0"/>
      <w:divBdr>
        <w:top w:val="none" w:sz="0" w:space="0" w:color="auto"/>
        <w:left w:val="none" w:sz="0" w:space="0" w:color="auto"/>
        <w:bottom w:val="none" w:sz="0" w:space="0" w:color="auto"/>
        <w:right w:val="none" w:sz="0" w:space="0" w:color="auto"/>
      </w:divBdr>
      <w:divsChild>
        <w:div w:id="780107027">
          <w:marLeft w:val="0"/>
          <w:marRight w:val="0"/>
          <w:marTop w:val="0"/>
          <w:marBottom w:val="0"/>
          <w:divBdr>
            <w:top w:val="none" w:sz="0" w:space="0" w:color="auto"/>
            <w:left w:val="none" w:sz="0" w:space="0" w:color="auto"/>
            <w:bottom w:val="none" w:sz="0" w:space="0" w:color="auto"/>
            <w:right w:val="none" w:sz="0" w:space="0" w:color="auto"/>
          </w:divBdr>
        </w:div>
      </w:divsChild>
    </w:div>
    <w:div w:id="1683512394">
      <w:bodyDiv w:val="1"/>
      <w:marLeft w:val="0"/>
      <w:marRight w:val="0"/>
      <w:marTop w:val="0"/>
      <w:marBottom w:val="0"/>
      <w:divBdr>
        <w:top w:val="none" w:sz="0" w:space="0" w:color="auto"/>
        <w:left w:val="none" w:sz="0" w:space="0" w:color="auto"/>
        <w:bottom w:val="none" w:sz="0" w:space="0" w:color="auto"/>
        <w:right w:val="none" w:sz="0" w:space="0" w:color="auto"/>
      </w:divBdr>
    </w:div>
    <w:div w:id="1836992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B1337E-3A6E-4E38-A2C3-D47093B21E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2</Pages>
  <Words>1054</Words>
  <Characters>1172</Characters>
  <Application>Microsoft Office Word</Application>
  <DocSecurity>0</DocSecurity>
  <Lines>73</Lines>
  <Paragraphs>25</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工学院大学建築系学科近藤研究室2000年度卒業論文梗概</vt:lpstr>
      <vt:lpstr>工学院大学建築系学科近藤研究室2000年度卒業論文梗概</vt:lpstr>
    </vt:vector>
  </TitlesOfParts>
  <Company>近藤家</Company>
  <LinksUpToDate>false</LinksUpToDate>
  <CharactersWithSpaces>2201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工学院大学建築系学科近藤研究室2000年度卒業論文梗概</dc:title>
  <dc:subject/>
  <dc:creator>近藤龍哉</dc:creator>
  <cp:keywords/>
  <dc:description/>
  <cp:lastModifiedBy>村上 正浩</cp:lastModifiedBy>
  <cp:revision>7</cp:revision>
  <cp:lastPrinted>2020-03-09T14:45:00Z</cp:lastPrinted>
  <dcterms:created xsi:type="dcterms:W3CDTF">2020-03-10T08:48:00Z</dcterms:created>
  <dcterms:modified xsi:type="dcterms:W3CDTF">2020-03-10T09:19:00Z</dcterms:modified>
</cp:coreProperties>
</file>